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1"/>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1"/>
        <w:spacing w:after="0"/>
        <w:rPr>
          <w:sz w:val="20"/>
          <w:szCs w:val="20"/>
          <w:color w:val="auto"/>
        </w:rPr>
      </w:pPr>
      <w:r>
        <w:rPr>
          <w:rFonts w:ascii="Arial" w:cs="Arial" w:eastAsia="Arial" w:hAnsi="Arial"/>
          <w:sz w:val="32"/>
          <w:szCs w:val="32"/>
          <w:b w:val="1"/>
          <w:bCs w:val="1"/>
          <w:color w:val="auto"/>
        </w:rPr>
        <w:t>SECURITIES AND EXCHANGE COMMISSION</w:t>
      </w:r>
    </w:p>
    <w:p>
      <w:pPr>
        <w:ind w:left="4592"/>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2898775</wp:posOffset>
            </wp:positionH>
            <wp:positionV relativeFrom="paragraph">
              <wp:posOffset>193040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832"/>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2898775</wp:posOffset>
            </wp:positionH>
            <wp:positionV relativeFrom="paragraph">
              <wp:posOffset>220980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ANNUAL REPORT</w:t>
      </w:r>
    </w:p>
    <w:p>
      <w:pPr>
        <w:spacing w:after="0" w:line="4"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PURSUANT TO SECTION 15(d) OF THE</w:t>
      </w:r>
    </w:p>
    <w:p>
      <w:pPr>
        <w:jc w:val="center"/>
        <w:ind w:right="-551"/>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512" w:hanging="512"/>
        <w:spacing w:after="0"/>
        <w:tabs>
          <w:tab w:leader="none" w:pos="512"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229"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25"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512" w:hanging="512"/>
        <w:spacing w:after="0"/>
        <w:tabs>
          <w:tab w:leader="none" w:pos="512"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240" w:lineRule="exact"/>
        <w:rPr>
          <w:sz w:val="24"/>
          <w:szCs w:val="24"/>
          <w:color w:val="auto"/>
        </w:rPr>
      </w:pPr>
    </w:p>
    <w:p>
      <w:pPr>
        <w:ind w:left="3492"/>
        <w:spacing w:after="0"/>
        <w:tabs>
          <w:tab w:leader="none" w:pos="6792"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3728720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ind w:left="4352"/>
        <w:spacing w:after="0"/>
        <w:rPr>
          <w:sz w:val="20"/>
          <w:szCs w:val="20"/>
          <w:color w:val="auto"/>
        </w:rPr>
      </w:pPr>
      <w:r>
        <w:rPr>
          <w:rFonts w:ascii="Arial" w:cs="Arial" w:eastAsia="Arial" w:hAnsi="Arial"/>
          <w:sz w:val="18"/>
          <w:szCs w:val="18"/>
          <w:b w:val="1"/>
          <w:bCs w:val="1"/>
          <w:color w:val="auto"/>
        </w:rPr>
        <w:t>Commission file number 000-22754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2898775</wp:posOffset>
            </wp:positionH>
            <wp:positionV relativeFrom="paragraph">
              <wp:posOffset>206375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512" w:hanging="512"/>
        <w:spacing w:after="0"/>
        <w:tabs>
          <w:tab w:leader="none" w:pos="512" w:val="left"/>
        </w:tabs>
        <w:numPr>
          <w:ilvl w:val="0"/>
          <w:numId w:val="3"/>
        </w:numPr>
        <w:rPr>
          <w:rFonts w:ascii="Arial" w:cs="Arial" w:eastAsia="Arial" w:hAnsi="Arial"/>
          <w:sz w:val="18"/>
          <w:szCs w:val="18"/>
          <w:color w:val="auto"/>
        </w:rPr>
      </w:pPr>
      <w:r>
        <w:rPr>
          <w:rFonts w:ascii="Arial" w:cs="Arial" w:eastAsia="Arial" w:hAnsi="Arial"/>
          <w:sz w:val="18"/>
          <w:szCs w:val="18"/>
          <w:color w:val="auto"/>
        </w:rPr>
        <w:t>Full title of the plan and address of the plan, if different from that of the issuer named below:</w:t>
      </w:r>
    </w:p>
    <w:p>
      <w:pPr>
        <w:spacing w:after="0" w:line="221" w:lineRule="exact"/>
        <w:rPr>
          <w:rFonts w:ascii="Arial" w:cs="Arial" w:eastAsia="Arial" w:hAnsi="Arial"/>
          <w:sz w:val="18"/>
          <w:szCs w:val="18"/>
          <w:color w:val="auto"/>
        </w:rPr>
      </w:pPr>
    </w:p>
    <w:p>
      <w:pPr>
        <w:ind w:left="4072"/>
        <w:spacing w:after="0"/>
        <w:rPr>
          <w:rFonts w:ascii="Arial" w:cs="Arial" w:eastAsia="Arial" w:hAnsi="Arial"/>
          <w:sz w:val="18"/>
          <w:szCs w:val="18"/>
          <w:color w:val="auto"/>
        </w:rPr>
      </w:pPr>
      <w:r>
        <w:rPr>
          <w:rFonts w:ascii="Arial" w:cs="Arial" w:eastAsia="Arial" w:hAnsi="Arial"/>
          <w:sz w:val="18"/>
          <w:szCs w:val="18"/>
          <w:b w:val="1"/>
          <w:bCs w:val="1"/>
          <w:color w:val="auto"/>
        </w:rPr>
        <w:t>Urban Outfitters, Inc. 401(k) Savings Plan</w:t>
      </w:r>
    </w:p>
    <w:p>
      <w:pPr>
        <w:spacing w:after="0" w:line="229" w:lineRule="exact"/>
        <w:rPr>
          <w:rFonts w:ascii="Arial" w:cs="Arial" w:eastAsia="Arial" w:hAnsi="Arial"/>
          <w:sz w:val="18"/>
          <w:szCs w:val="18"/>
          <w:color w:val="auto"/>
        </w:rPr>
      </w:pPr>
    </w:p>
    <w:p>
      <w:pPr>
        <w:ind w:left="512" w:hanging="512"/>
        <w:spacing w:after="0"/>
        <w:tabs>
          <w:tab w:leader="none" w:pos="512"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221"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Urban Outfitters, Inc.</w:t>
      </w:r>
    </w:p>
    <w:p>
      <w:pPr>
        <w:spacing w:after="0" w:line="27"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5000 South Broad Street</w:t>
      </w:r>
    </w:p>
    <w:p>
      <w:pPr>
        <w:spacing w:after="0" w:line="9" w:lineRule="exact"/>
        <w:rPr>
          <w:sz w:val="24"/>
          <w:szCs w:val="24"/>
          <w:color w:val="auto"/>
        </w:rPr>
      </w:pPr>
    </w:p>
    <w:p>
      <w:pPr>
        <w:jc w:val="center"/>
        <w:ind w:right="-551"/>
        <w:spacing w:after="0"/>
        <w:rPr>
          <w:sz w:val="20"/>
          <w:szCs w:val="20"/>
          <w:color w:val="auto"/>
        </w:rPr>
      </w:pPr>
      <w:r>
        <w:rPr>
          <w:rFonts w:ascii="Arial" w:cs="Arial" w:eastAsia="Arial" w:hAnsi="Arial"/>
          <w:sz w:val="18"/>
          <w:szCs w:val="18"/>
          <w:b w:val="1"/>
          <w:bCs w:val="1"/>
          <w:color w:val="auto"/>
        </w:rPr>
        <w:t>Philadelphia, PA 19112-1495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151765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499110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72"/>
          </w:cols>
          <w:pgMar w:left="248" w:top="368" w:right="77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URBAN OUTFITTERS,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401(k) SAVINGS PLAN</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2017 AND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PAGE</w:t>
            </w:r>
          </w:p>
        </w:tc>
      </w:tr>
      <w:tr>
        <w:trPr>
          <w:trHeight w:val="171"/>
        </w:trPr>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r>
      <w:tr>
        <w:trPr>
          <w:trHeight w:val="210"/>
        </w:trPr>
        <w:tc>
          <w:tcPr>
            <w:tcW w:w="180" w:type="dxa"/>
            <w:vAlign w:val="bottom"/>
          </w:tcPr>
          <w:p>
            <w:pPr>
              <w:spacing w:after="0"/>
              <w:rPr>
                <w:sz w:val="18"/>
                <w:szCs w:val="18"/>
                <w:color w:val="auto"/>
              </w:rPr>
            </w:pPr>
          </w:p>
        </w:tc>
        <w:tc>
          <w:tcPr>
            <w:tcW w:w="1016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r>
      <w:tr>
        <w:trPr>
          <w:trHeight w:val="344"/>
        </w:trPr>
        <w:tc>
          <w:tcPr>
            <w:tcW w:w="180" w:type="dxa"/>
            <w:vAlign w:val="bottom"/>
          </w:tcPr>
          <w:p>
            <w:pPr>
              <w:spacing w:after="0"/>
              <w:rPr>
                <w:sz w:val="24"/>
                <w:szCs w:val="24"/>
                <w:color w:val="auto"/>
              </w:rPr>
            </w:pPr>
          </w:p>
        </w:tc>
        <w:tc>
          <w:tcPr>
            <w:tcW w:w="42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Financial Statements:</w:t>
            </w:r>
          </w:p>
        </w:tc>
        <w:tc>
          <w:tcPr>
            <w:tcW w:w="5940" w:type="dxa"/>
            <w:vAlign w:val="bottom"/>
            <w:gridSpan w:val="5"/>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90"/>
        </w:trPr>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0" w:type="dxa"/>
            <w:vAlign w:val="bottom"/>
            <w:tcBorders>
              <w:bottom w:val="single" w:sz="8" w:color="0000EE"/>
            </w:tcBorders>
            <w:gridSpan w:val="5"/>
          </w:tcPr>
          <w:p>
            <w:pPr>
              <w:spacing w:after="0" w:line="190"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Statements of Net Assets Available for Benefits as of December 31, 2017 and 2016</w:t>
              </w:r>
            </w:hyperlink>
          </w:p>
        </w:tc>
        <w:tc>
          <w:tcPr>
            <w:tcW w:w="3720" w:type="dxa"/>
            <w:vAlign w:val="bottom"/>
            <w:gridSpan w:val="3"/>
          </w:tcPr>
          <w:p>
            <w:pPr>
              <w:spacing w:after="0"/>
              <w:rPr>
                <w:sz w:val="16"/>
                <w:szCs w:val="16"/>
                <w:color w:val="auto"/>
              </w:rPr>
            </w:pPr>
          </w:p>
        </w:tc>
        <w:tc>
          <w:tcPr>
            <w:tcW w:w="1100" w:type="dxa"/>
            <w:vAlign w:val="bottom"/>
            <w:gridSpan w:val="2"/>
          </w:tcPr>
          <w:p>
            <w:pPr>
              <w:jc w:val="right"/>
              <w:ind w:right="200"/>
              <w:spacing w:after="0" w:line="190" w:lineRule="exact"/>
              <w:rPr>
                <w:sz w:val="20"/>
                <w:szCs w:val="20"/>
                <w:color w:val="auto"/>
              </w:rPr>
            </w:pPr>
            <w:r>
              <w:rPr>
                <w:rFonts w:ascii="Arial" w:cs="Arial" w:eastAsia="Arial" w:hAnsi="Arial"/>
                <w:sz w:val="18"/>
                <w:szCs w:val="18"/>
                <w:color w:val="auto"/>
              </w:rPr>
              <w:t>3</w:t>
            </w:r>
          </w:p>
        </w:tc>
      </w:tr>
      <w:tr>
        <w:trPr>
          <w:trHeight w:val="210"/>
        </w:trPr>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8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Statement of Changes in Net Assets Available for Benefits for the Year Ended December 31, 2017</w:t>
              </w:r>
            </w:hyperlink>
          </w:p>
        </w:tc>
        <w:tc>
          <w:tcPr>
            <w:tcW w:w="26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r>
      <w:tr>
        <w:trPr>
          <w:trHeight w:val="210"/>
        </w:trPr>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Financial Statements</w:t>
              </w:r>
            </w:hyperlink>
          </w:p>
        </w:tc>
        <w:tc>
          <w:tcPr>
            <w:tcW w:w="7560" w:type="dxa"/>
            <w:vAlign w:val="bottom"/>
            <w:gridSpan w:val="6"/>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r>
      <w:tr>
        <w:trPr>
          <w:trHeight w:val="340"/>
        </w:trPr>
        <w:tc>
          <w:tcPr>
            <w:tcW w:w="180" w:type="dxa"/>
            <w:vAlign w:val="bottom"/>
          </w:tcPr>
          <w:p>
            <w:pPr>
              <w:spacing w:after="0"/>
              <w:rPr>
                <w:sz w:val="24"/>
                <w:szCs w:val="24"/>
                <w:color w:val="auto"/>
              </w:rPr>
            </w:pPr>
          </w:p>
        </w:tc>
        <w:tc>
          <w:tcPr>
            <w:tcW w:w="10160" w:type="dxa"/>
            <w:vAlign w:val="bottom"/>
            <w:gridSpan w:val="9"/>
          </w:tcPr>
          <w:p>
            <w:pPr>
              <w:spacing w:after="0"/>
              <w:rPr>
                <w:sz w:val="20"/>
                <w:szCs w:val="20"/>
                <w:color w:val="auto"/>
              </w:rPr>
            </w:pPr>
            <w:r>
              <w:rPr>
                <w:rFonts w:ascii="Arial" w:cs="Arial" w:eastAsia="Arial" w:hAnsi="Arial"/>
                <w:sz w:val="18"/>
                <w:szCs w:val="18"/>
                <w:color w:val="auto"/>
              </w:rPr>
              <w:t>Supplemental Schedule:</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94"/>
        </w:trPr>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380" w:type="dxa"/>
            <w:vAlign w:val="bottom"/>
            <w:tcBorders>
              <w:bottom w:val="single" w:sz="8" w:color="0000EE"/>
            </w:tcBorders>
            <w:gridSpan w:val="6"/>
          </w:tcPr>
          <w:p>
            <w:pPr>
              <w:spacing w:after="0" w:line="194"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Schedule H, line 4i</w:t>
              </w:r>
              <w:r>
                <w:rPr>
                  <w:rFonts w:ascii="Arial" w:cs="Arial" w:eastAsia="Arial" w:hAnsi="Arial"/>
                  <w:sz w:val="18"/>
                  <w:szCs w:val="18"/>
                  <w:b w:val="1"/>
                  <w:bCs w:val="1"/>
                  <w:color w:val="0000EE"/>
                  <w:w w:val="90"/>
                </w:rPr>
                <w:t>—</w:t>
              </w:r>
              <w:r>
                <w:rPr>
                  <w:rFonts w:ascii="Arial" w:cs="Arial" w:eastAsia="Arial" w:hAnsi="Arial"/>
                  <w:sz w:val="18"/>
                  <w:szCs w:val="18"/>
                  <w:color w:val="0000EE"/>
                  <w:w w:val="90"/>
                </w:rPr>
                <w:t>Schedule of Assets (Held at End of Year) as of December 31, 2017</w:t>
              </w:r>
            </w:hyperlink>
          </w:p>
        </w:tc>
        <w:tc>
          <w:tcPr>
            <w:tcW w:w="3340" w:type="dxa"/>
            <w:vAlign w:val="bottom"/>
            <w:gridSpan w:val="2"/>
          </w:tcPr>
          <w:p>
            <w:pPr>
              <w:spacing w:after="0"/>
              <w:rPr>
                <w:sz w:val="16"/>
                <w:szCs w:val="16"/>
                <w:color w:val="auto"/>
              </w:rPr>
            </w:pPr>
          </w:p>
        </w:tc>
        <w:tc>
          <w:tcPr>
            <w:tcW w:w="1100" w:type="dxa"/>
            <w:vAlign w:val="bottom"/>
            <w:gridSpan w:val="2"/>
          </w:tcPr>
          <w:p>
            <w:pPr>
              <w:jc w:val="right"/>
              <w:ind w:right="200"/>
              <w:spacing w:after="0" w:line="194" w:lineRule="exact"/>
              <w:rPr>
                <w:sz w:val="20"/>
                <w:szCs w:val="20"/>
                <w:color w:val="auto"/>
              </w:rPr>
            </w:pPr>
            <w:r>
              <w:rPr>
                <w:rFonts w:ascii="Arial" w:cs="Arial" w:eastAsia="Arial" w:hAnsi="Arial"/>
                <w:sz w:val="18"/>
                <w:szCs w:val="18"/>
                <w:color w:val="auto"/>
              </w:rPr>
              <w:t>10</w:t>
            </w:r>
          </w:p>
        </w:tc>
      </w:tr>
      <w:tr>
        <w:trPr>
          <w:trHeight w:val="318"/>
        </w:trPr>
        <w:tc>
          <w:tcPr>
            <w:tcW w:w="180" w:type="dxa"/>
            <w:vAlign w:val="bottom"/>
          </w:tcPr>
          <w:p>
            <w:pPr>
              <w:spacing w:after="0"/>
              <w:rPr>
                <w:sz w:val="24"/>
                <w:szCs w:val="24"/>
                <w:color w:val="auto"/>
              </w:rPr>
            </w:pPr>
          </w:p>
        </w:tc>
        <w:tc>
          <w:tcPr>
            <w:tcW w:w="70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12">
              <w:r>
                <w:rPr>
                  <w:rFonts w:ascii="Arial" w:cs="Arial" w:eastAsia="Arial" w:hAnsi="Arial"/>
                  <w:sz w:val="18"/>
                  <w:szCs w:val="18"/>
                  <w:color w:val="0000EE"/>
                  <w:w w:val="88"/>
                </w:rPr>
                <w:t>Signature</w:t>
              </w:r>
            </w:hyperlink>
          </w:p>
        </w:tc>
        <w:tc>
          <w:tcPr>
            <w:tcW w:w="9460" w:type="dxa"/>
            <w:vAlign w:val="bottom"/>
            <w:gridSpan w:val="7"/>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r>
      <w:tr>
        <w:trPr>
          <w:trHeight w:val="318"/>
        </w:trPr>
        <w:tc>
          <w:tcPr>
            <w:tcW w:w="180" w:type="dxa"/>
            <w:vAlign w:val="bottom"/>
          </w:tcPr>
          <w:p>
            <w:pPr>
              <w:spacing w:after="0"/>
              <w:rPr>
                <w:sz w:val="24"/>
                <w:szCs w:val="24"/>
                <w:color w:val="auto"/>
              </w:rPr>
            </w:pPr>
          </w:p>
        </w:tc>
        <w:tc>
          <w:tcPr>
            <w:tcW w:w="10160" w:type="dxa"/>
            <w:vAlign w:val="bottom"/>
            <w:gridSpan w:val="9"/>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Exhibit Index—Consent of Independent Registered Public Accounting Firm</w:t>
              </w:r>
            </w:hyperlink>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r>
      <w:tr>
        <w:trPr>
          <w:trHeight w:val="595"/>
        </w:trPr>
        <w:tc>
          <w:tcPr>
            <w:tcW w:w="180" w:type="dxa"/>
            <w:vAlign w:val="bottom"/>
            <w:tcBorders>
              <w:bottom w:val="single" w:sz="8" w:color="9A9A9A"/>
            </w:tcBorders>
          </w:tcPr>
          <w:p>
            <w:pPr>
              <w:spacing w:after="0"/>
              <w:rPr>
                <w:sz w:val="24"/>
                <w:szCs w:val="24"/>
                <w:color w:val="auto"/>
              </w:rPr>
            </w:pPr>
          </w:p>
        </w:tc>
        <w:tc>
          <w:tcPr>
            <w:tcW w:w="44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1900" w:type="dxa"/>
            <w:vAlign w:val="bottom"/>
            <w:tcBorders>
              <w:top w:val="single" w:sz="8" w:color="0000EE"/>
              <w:bottom w:val="single" w:sz="8" w:color="9A9A9A"/>
            </w:tcBorders>
          </w:tcPr>
          <w:p>
            <w:pPr>
              <w:spacing w:after="0"/>
              <w:rPr>
                <w:sz w:val="24"/>
                <w:szCs w:val="24"/>
                <w:color w:val="auto"/>
              </w:rPr>
            </w:pPr>
          </w:p>
        </w:tc>
        <w:tc>
          <w:tcPr>
            <w:tcW w:w="1620" w:type="dxa"/>
            <w:vAlign w:val="bottom"/>
            <w:tcBorders>
              <w:top w:val="single" w:sz="8" w:color="0000EE"/>
              <w:bottom w:val="single" w:sz="8" w:color="9A9A9A"/>
            </w:tcBorders>
          </w:tcPr>
          <w:p>
            <w:pPr>
              <w:spacing w:after="0"/>
              <w:rPr>
                <w:sz w:val="24"/>
                <w:szCs w:val="24"/>
                <w:color w:val="auto"/>
              </w:rPr>
            </w:pPr>
          </w:p>
        </w:tc>
        <w:tc>
          <w:tcPr>
            <w:tcW w:w="1260" w:type="dxa"/>
            <w:vAlign w:val="bottom"/>
            <w:tcBorders>
              <w:top w:val="single" w:sz="8" w:color="0000EE"/>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297"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Plan Administrator and Participants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Urban Outfitters, Inc. 401(k) Savings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audited the accompanying statements of net assets available for benefits of the Urban Outfitters, Inc. 401(k) Savings Plan (the “Plan”) as of December 31, 2017 and 2016, the related statement of changes in net assets available for benefits for the year ended December 31, 2017, and the related notes (collectively, the “financial statements”). In our opinion, the financial statements present fairly, in all material respects, the net assets available for benefits of the Plan as of December 31, 2017 and 2016, and the changes in net assets available for benefits for the year ended December 31, 2017,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provide a reasonable basis for our opinion.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Information</w:t>
      </w:r>
    </w:p>
    <w:p>
      <w:pPr>
        <w:spacing w:after="0" w:line="22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supplemental information in the accompanying schedule of assets (held at end of year) as of December 31, 2017, has been subjected to audit procedures performed in conjunction with the audit of the Plan’s financial statements. The supplemental information is presented for the purpose of additional analysis and is not a required part of the financial statements but included supplemental information required by the Department of Labor’s Rules and Regulations for Reporting and Disclosure under the Employee Retirement Income Security Act of 1974.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Plan’s auditor since 2011.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25, 2018</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URBAN OUTFITTERS,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401(k) SAVINGS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2017 AND 2016</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ind w:right="85"/>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2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4"/>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tcPr>
          <w:p>
            <w:pPr>
              <w:ind w:left="240"/>
              <w:spacing w:after="0"/>
              <w:rPr>
                <w:sz w:val="20"/>
                <w:szCs w:val="20"/>
                <w:color w:val="auto"/>
              </w:rPr>
            </w:pPr>
            <w:r>
              <w:rPr>
                <w:rFonts w:ascii="Arial" w:cs="Arial" w:eastAsia="Arial" w:hAnsi="Arial"/>
                <w:sz w:val="18"/>
                <w:szCs w:val="18"/>
                <w:color w:val="auto"/>
              </w:rPr>
              <w:t>Investments, at fair value (see Note 3)</w:t>
            </w:r>
          </w:p>
        </w:tc>
        <w:tc>
          <w:tcPr>
            <w:tcW w:w="15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141,851,876</w:t>
            </w:r>
          </w:p>
        </w:tc>
        <w:tc>
          <w:tcPr>
            <w:tcW w:w="280" w:type="dxa"/>
            <w:vAlign w:val="bottom"/>
          </w:tcPr>
          <w:p>
            <w:pPr>
              <w:spacing w:after="0"/>
              <w:rPr>
                <w:sz w:val="19"/>
                <w:szCs w:val="19"/>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109,427,835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Fully benefit-responsive investment contract, at contract value (see Note 4)</w:t>
            </w: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10,281,653</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10,179,791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tcPr>
          <w:p>
            <w:pPr>
              <w:ind w:left="240"/>
              <w:spacing w:after="0"/>
              <w:rPr>
                <w:sz w:val="20"/>
                <w:szCs w:val="20"/>
                <w:color w:val="auto"/>
              </w:rPr>
            </w:pPr>
            <w:r>
              <w:rPr>
                <w:rFonts w:ascii="Arial" w:cs="Arial" w:eastAsia="Arial" w:hAnsi="Arial"/>
                <w:sz w:val="18"/>
                <w:szCs w:val="18"/>
                <w:color w:val="auto"/>
              </w:rPr>
              <w:t>Receivables:</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Notes receivable from participants</w:t>
            </w:r>
          </w:p>
        </w:tc>
        <w:tc>
          <w:tcPr>
            <w:tcW w:w="1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2,182,444</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2,188,154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68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154,315,973</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121,795,780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Refundable contributions</w:t>
            </w:r>
          </w:p>
        </w:tc>
        <w:tc>
          <w:tcPr>
            <w:tcW w:w="1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389,141</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812,165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389,141</w:t>
            </w:r>
          </w:p>
        </w:tc>
        <w:tc>
          <w:tcPr>
            <w:tcW w:w="28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812,165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Net Assets Available for Benefits</w:t>
            </w:r>
          </w:p>
        </w:tc>
        <w:tc>
          <w:tcPr>
            <w:tcW w:w="1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153,926,832</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120,983,615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URBAN OUTFITTERS,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401(k) SAVINGS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NET ASSETS AVAILABLE FOR BENEFITS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2017</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Additions</w:t>
            </w:r>
          </w:p>
        </w:tc>
        <w:tc>
          <w:tcPr>
            <w:tcW w:w="320" w:type="dxa"/>
            <w:vAlign w:val="bottom"/>
            <w:tcBorders>
              <w:top w:val="single" w:sz="8" w:color="auto"/>
            </w:tcBorders>
            <w:shd w:val="clear" w:color="auto" w:fill="CFF0FC"/>
          </w:tcPr>
          <w:p>
            <w:pPr>
              <w:spacing w:after="0"/>
              <w:rPr>
                <w:sz w:val="19"/>
                <w:szCs w:val="19"/>
                <w:color w:val="auto"/>
              </w:rPr>
            </w:pPr>
          </w:p>
        </w:tc>
        <w:tc>
          <w:tcPr>
            <w:tcW w:w="2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60" w:type="dxa"/>
            <w:vAlign w:val="bottom"/>
          </w:tcPr>
          <w:p>
            <w:pPr>
              <w:ind w:left="240"/>
              <w:spacing w:after="0"/>
              <w:rPr>
                <w:sz w:val="20"/>
                <w:szCs w:val="20"/>
                <w:color w:val="auto"/>
              </w:rPr>
            </w:pPr>
            <w:r>
              <w:rPr>
                <w:rFonts w:ascii="Arial" w:cs="Arial" w:eastAsia="Arial" w:hAnsi="Arial"/>
                <w:sz w:val="18"/>
                <w:szCs w:val="18"/>
                <w:color w:val="auto"/>
              </w:rPr>
              <w:t>Investment income:</w:t>
            </w:r>
          </w:p>
        </w:tc>
        <w:tc>
          <w:tcPr>
            <w:tcW w:w="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Net appreciation in fair value of investments</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20,887,618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Interest and dividends</w:t>
            </w:r>
          </w:p>
        </w:tc>
        <w:tc>
          <w:tcPr>
            <w:tcW w:w="3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4,059,302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net investment income</w:t>
            </w:r>
          </w:p>
        </w:tc>
        <w:tc>
          <w:tcPr>
            <w:tcW w:w="320" w:type="dxa"/>
            <w:vAlign w:val="bottom"/>
            <w:tcBorders>
              <w:bottom w:val="single" w:sz="8" w:color="auto"/>
            </w:tcBorders>
            <w:shd w:val="clear" w:color="auto" w:fill="CFF0FC"/>
          </w:tcPr>
          <w:p>
            <w:pPr>
              <w:spacing w:after="0"/>
              <w:rPr>
                <w:sz w:val="19"/>
                <w:szCs w:val="19"/>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24,946,920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960" w:type="dxa"/>
            <w:vAlign w:val="bottom"/>
          </w:tcPr>
          <w:p>
            <w:pPr>
              <w:ind w:left="240"/>
              <w:spacing w:after="0"/>
              <w:rPr>
                <w:sz w:val="20"/>
                <w:szCs w:val="20"/>
                <w:color w:val="auto"/>
              </w:rPr>
            </w:pPr>
            <w:r>
              <w:rPr>
                <w:rFonts w:ascii="Arial" w:cs="Arial" w:eastAsia="Arial" w:hAnsi="Arial"/>
                <w:sz w:val="18"/>
                <w:szCs w:val="18"/>
                <w:color w:val="auto"/>
              </w:rPr>
              <w:t>Interest income on notes receivable from participants</w:t>
            </w:r>
          </w:p>
        </w:tc>
        <w:tc>
          <w:tcPr>
            <w:tcW w:w="3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92,240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Contributions:</w:t>
            </w:r>
          </w:p>
        </w:tc>
        <w:tc>
          <w:tcPr>
            <w:tcW w:w="32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60" w:type="dxa"/>
            <w:vAlign w:val="bottom"/>
          </w:tcPr>
          <w:p>
            <w:pPr>
              <w:ind w:left="480"/>
              <w:spacing w:after="0"/>
              <w:rPr>
                <w:sz w:val="20"/>
                <w:szCs w:val="20"/>
                <w:color w:val="auto"/>
              </w:rPr>
            </w:pPr>
            <w:r>
              <w:rPr>
                <w:rFonts w:ascii="Arial" w:cs="Arial" w:eastAsia="Arial" w:hAnsi="Arial"/>
                <w:sz w:val="18"/>
                <w:szCs w:val="18"/>
                <w:color w:val="auto"/>
              </w:rPr>
              <w:t>Participants</w:t>
            </w:r>
          </w:p>
        </w:tc>
        <w:tc>
          <w:tcPr>
            <w:tcW w:w="3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17,150,861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Employer</w:t>
            </w:r>
          </w:p>
        </w:tc>
        <w:tc>
          <w:tcPr>
            <w:tcW w:w="32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2,595,099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Rollovers (see Note 1)</w:t>
            </w:r>
          </w:p>
        </w:tc>
        <w:tc>
          <w:tcPr>
            <w:tcW w:w="3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1,946,483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contributions</w:t>
            </w:r>
          </w:p>
        </w:tc>
        <w:tc>
          <w:tcPr>
            <w:tcW w:w="320" w:type="dxa"/>
            <w:vAlign w:val="bottom"/>
            <w:tcBorders>
              <w:bottom w:val="single" w:sz="8" w:color="auto"/>
            </w:tcBorders>
            <w:shd w:val="clear" w:color="auto" w:fill="CFF0FC"/>
          </w:tcPr>
          <w:p>
            <w:pPr>
              <w:spacing w:after="0"/>
              <w:rPr>
                <w:sz w:val="19"/>
                <w:szCs w:val="19"/>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21,692,443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720"/>
              <w:spacing w:after="0"/>
              <w:rPr>
                <w:sz w:val="20"/>
                <w:szCs w:val="20"/>
                <w:color w:val="auto"/>
              </w:rPr>
            </w:pPr>
            <w:r>
              <w:rPr>
                <w:rFonts w:ascii="Arial" w:cs="Arial" w:eastAsia="Arial" w:hAnsi="Arial"/>
                <w:sz w:val="18"/>
                <w:szCs w:val="18"/>
                <w:color w:val="auto"/>
              </w:rPr>
              <w:t>Total additions</w:t>
            </w:r>
          </w:p>
        </w:tc>
        <w:tc>
          <w:tcPr>
            <w:tcW w:w="3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46,731,603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Deductions</w:t>
            </w:r>
          </w:p>
        </w:tc>
        <w:tc>
          <w:tcPr>
            <w:tcW w:w="32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60" w:type="dxa"/>
            <w:vAlign w:val="bottom"/>
          </w:tcPr>
          <w:p>
            <w:pPr>
              <w:ind w:left="240"/>
              <w:spacing w:after="0"/>
              <w:rPr>
                <w:sz w:val="20"/>
                <w:szCs w:val="20"/>
                <w:color w:val="auto"/>
              </w:rPr>
            </w:pPr>
            <w:r>
              <w:rPr>
                <w:rFonts w:ascii="Arial" w:cs="Arial" w:eastAsia="Arial" w:hAnsi="Arial"/>
                <w:sz w:val="18"/>
                <w:szCs w:val="18"/>
                <w:color w:val="auto"/>
              </w:rPr>
              <w:t>Benefits paid to participants</w:t>
            </w:r>
          </w:p>
        </w:tc>
        <w:tc>
          <w:tcPr>
            <w:tcW w:w="320" w:type="dxa"/>
            <w:vAlign w:val="bottom"/>
          </w:tcPr>
          <w:p>
            <w:pPr>
              <w:spacing w:after="0"/>
              <w:rPr>
                <w:sz w:val="19"/>
                <w:szCs w:val="19"/>
                <w:color w:val="auto"/>
              </w:rPr>
            </w:pPr>
          </w:p>
        </w:tc>
        <w:tc>
          <w:tcPr>
            <w:tcW w:w="2120" w:type="dxa"/>
            <w:vAlign w:val="bottom"/>
            <w:gridSpan w:val="2"/>
          </w:tcPr>
          <w:p>
            <w:pPr>
              <w:jc w:val="right"/>
              <w:ind w:right="60"/>
              <w:spacing w:after="0"/>
              <w:rPr>
                <w:sz w:val="20"/>
                <w:szCs w:val="20"/>
                <w:color w:val="auto"/>
              </w:rPr>
            </w:pPr>
            <w:r>
              <w:rPr>
                <w:rFonts w:ascii="Arial" w:cs="Arial" w:eastAsia="Arial" w:hAnsi="Arial"/>
                <w:sz w:val="18"/>
                <w:szCs w:val="18"/>
                <w:color w:val="auto"/>
              </w:rPr>
              <w:t>(13,362,835)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Administrative expenses</w:t>
            </w:r>
          </w:p>
        </w:tc>
        <w:tc>
          <w:tcPr>
            <w:tcW w:w="320" w:type="dxa"/>
            <w:vAlign w:val="bottom"/>
            <w:shd w:val="clear" w:color="auto" w:fill="CFF0FC"/>
          </w:tcPr>
          <w:p>
            <w:pPr>
              <w:spacing w:after="0"/>
              <w:rPr>
                <w:sz w:val="19"/>
                <w:szCs w:val="19"/>
                <w:color w:val="auto"/>
              </w:rPr>
            </w:pPr>
          </w:p>
        </w:tc>
        <w:tc>
          <w:tcPr>
            <w:tcW w:w="2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(425,551)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720"/>
              <w:spacing w:after="0"/>
              <w:rPr>
                <w:sz w:val="20"/>
                <w:szCs w:val="20"/>
                <w:color w:val="auto"/>
              </w:rPr>
            </w:pPr>
            <w:r>
              <w:rPr>
                <w:rFonts w:ascii="Arial" w:cs="Arial" w:eastAsia="Arial" w:hAnsi="Arial"/>
                <w:sz w:val="18"/>
                <w:szCs w:val="18"/>
                <w:color w:val="auto"/>
              </w:rPr>
              <w:t>Total deductions</w:t>
            </w:r>
          </w:p>
        </w:tc>
        <w:tc>
          <w:tcPr>
            <w:tcW w:w="320" w:type="dxa"/>
            <w:vAlign w:val="bottom"/>
            <w:tcBorders>
              <w:top w:val="single" w:sz="8" w:color="auto"/>
              <w:bottom w:val="single" w:sz="8" w:color="auto"/>
            </w:tcBorders>
          </w:tcPr>
          <w:p>
            <w:pPr>
              <w:spacing w:after="0"/>
              <w:rPr>
                <w:sz w:val="19"/>
                <w:szCs w:val="19"/>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(13,788,386)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60" w:type="dxa"/>
            <w:vAlign w:val="bottom"/>
            <w:shd w:val="clear" w:color="auto" w:fill="CFF0FC"/>
          </w:tcPr>
          <w:p>
            <w:pPr>
              <w:ind w:left="720"/>
              <w:spacing w:after="0"/>
              <w:rPr>
                <w:sz w:val="20"/>
                <w:szCs w:val="20"/>
                <w:color w:val="auto"/>
              </w:rPr>
            </w:pPr>
            <w:r>
              <w:rPr>
                <w:rFonts w:ascii="Arial" w:cs="Arial" w:eastAsia="Arial" w:hAnsi="Arial"/>
                <w:sz w:val="18"/>
                <w:szCs w:val="18"/>
                <w:color w:val="auto"/>
              </w:rPr>
              <w:t>Net increase in net assets</w:t>
            </w:r>
          </w:p>
        </w:tc>
        <w:tc>
          <w:tcPr>
            <w:tcW w:w="32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32,943,217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Net Assets Available for Benefits</w:t>
            </w:r>
          </w:p>
        </w:tc>
        <w:tc>
          <w:tcPr>
            <w:tcW w:w="3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Beginning of year</w:t>
            </w:r>
          </w:p>
        </w:tc>
        <w:tc>
          <w:tcPr>
            <w:tcW w:w="320" w:type="dxa"/>
            <w:vAlign w:val="bottom"/>
            <w:tcBorders>
              <w:bottom w:val="single" w:sz="8" w:color="auto"/>
            </w:tcBorders>
            <w:shd w:val="clear" w:color="auto" w:fill="CFF0FC"/>
          </w:tcPr>
          <w:p>
            <w:pPr>
              <w:spacing w:after="0"/>
              <w:rPr>
                <w:sz w:val="19"/>
                <w:szCs w:val="19"/>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120,983,615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40"/>
              <w:spacing w:after="0"/>
              <w:rPr>
                <w:sz w:val="20"/>
                <w:szCs w:val="20"/>
                <w:color w:val="auto"/>
              </w:rPr>
            </w:pPr>
            <w:r>
              <w:rPr>
                <w:rFonts w:ascii="Arial" w:cs="Arial" w:eastAsia="Arial" w:hAnsi="Arial"/>
                <w:sz w:val="18"/>
                <w:szCs w:val="18"/>
                <w:color w:val="auto"/>
              </w:rPr>
              <w:t>End of year</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153,926,832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URBAN OUTFITTERS, INC. 401(k) SAVINGS PLAN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2017 AND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121"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The following description of the Urban Outfitters, Inc. 401(k) Savings Plan (the “Plan”) provides only general information. Participants should refer to the Plan documents for a more complete description of the Plan’s provisions.</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Plan is a defined contribution 401(k) plan covering substantially all employees of Urban Outfitters, Inc. (the “Company”) that have attained age</w:t>
      </w:r>
    </w:p>
    <w:p>
      <w:pPr>
        <w:spacing w:after="0" w:line="46" w:lineRule="exact"/>
        <w:rPr>
          <w:sz w:val="20"/>
          <w:szCs w:val="20"/>
          <w:color w:val="auto"/>
        </w:rPr>
      </w:pPr>
    </w:p>
    <w:p>
      <w:pPr>
        <w:ind w:left="520" w:right="660" w:firstLine="5"/>
        <w:spacing w:after="0" w:line="261" w:lineRule="auto"/>
        <w:tabs>
          <w:tab w:leader="none" w:pos="79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Eligible employees are able to participate in the Plan upon completing three months of service. The Plan is subject to the provisions of the Employee Retirement Income Security Act of 1974, as amended (“ERISA”).</w:t>
      </w:r>
    </w:p>
    <w:p>
      <w:pPr>
        <w:spacing w:after="0" w:line="76"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The Plan is administered by a committee consisting of members appointed by the board of directors of the Company and the Plan’s assets are managed by Fidelity Management Trust Company (“Fidelity”), the recordkeeper and custodian.</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Contributions</w:t>
      </w:r>
    </w:p>
    <w:p>
      <w:pPr>
        <w:spacing w:after="0" w:line="117" w:lineRule="exact"/>
        <w:rPr>
          <w:sz w:val="20"/>
          <w:szCs w:val="20"/>
          <w:color w:val="auto"/>
        </w:rPr>
      </w:pPr>
    </w:p>
    <w:p>
      <w:pPr>
        <w:jc w:val="both"/>
        <w:ind w:left="480" w:right="40"/>
        <w:spacing w:after="0" w:line="259" w:lineRule="auto"/>
        <w:rPr>
          <w:sz w:val="20"/>
          <w:szCs w:val="20"/>
          <w:color w:val="auto"/>
        </w:rPr>
      </w:pPr>
      <w:r>
        <w:rPr>
          <w:rFonts w:ascii="Arial" w:cs="Arial" w:eastAsia="Arial" w:hAnsi="Arial"/>
          <w:sz w:val="18"/>
          <w:szCs w:val="18"/>
          <w:color w:val="auto"/>
        </w:rPr>
        <w:t>Subject to certain limitations as outlined in the Plan documents, participants may elect to contribute from 1% to 25% of their eligible compensation, as defined, to the Plan. Participants who have attained age 50 before the end of the plan year are eligible to make catch-up contributions. Participants may also contribute amounts representing distributions from other qualified defined benefit or defined contribution plans. Participants direct the investment of their contributions into various investment options offered by the Plan.</w:t>
      </w:r>
    </w:p>
    <w:p>
      <w:pPr>
        <w:spacing w:after="0" w:line="79" w:lineRule="exact"/>
        <w:rPr>
          <w:sz w:val="20"/>
          <w:szCs w:val="20"/>
          <w:color w:val="auto"/>
        </w:rPr>
      </w:pPr>
    </w:p>
    <w:p>
      <w:pPr>
        <w:ind w:left="480" w:right="60"/>
        <w:spacing w:after="0" w:line="302" w:lineRule="auto"/>
        <w:rPr>
          <w:sz w:val="20"/>
          <w:szCs w:val="20"/>
          <w:color w:val="auto"/>
        </w:rPr>
      </w:pPr>
      <w:r>
        <w:rPr>
          <w:rFonts w:ascii="Arial" w:cs="Arial" w:eastAsia="Arial" w:hAnsi="Arial"/>
          <w:sz w:val="16"/>
          <w:szCs w:val="16"/>
          <w:color w:val="auto"/>
        </w:rPr>
        <w:t>The Company may make matching contributions (allocated based on participant contributions for the year) and additional discretionary contributions (allocated based on participant compensation) to the Plan. To be eligible for employer contributions, a participant must have completed 12 months of continuous service. For each of the years ended December 31, 2017 and 2016, the Company made matching contributions equal to 25% of the first 6% of an employee’s compensation deferred under the Plan. No additional discretionary contributions were made.</w:t>
      </w:r>
    </w:p>
    <w:p>
      <w:pPr>
        <w:spacing w:after="0" w:line="8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Rollovers</w:t>
      </w:r>
    </w:p>
    <w:p>
      <w:pPr>
        <w:spacing w:after="0" w:line="117" w:lineRule="exact"/>
        <w:rPr>
          <w:sz w:val="20"/>
          <w:szCs w:val="20"/>
          <w:color w:val="auto"/>
        </w:rPr>
      </w:pPr>
    </w:p>
    <w:p>
      <w:pPr>
        <w:ind w:left="480" w:right="140"/>
        <w:spacing w:after="0" w:line="342" w:lineRule="auto"/>
        <w:rPr>
          <w:sz w:val="20"/>
          <w:szCs w:val="20"/>
          <w:color w:val="auto"/>
        </w:rPr>
      </w:pPr>
      <w:r>
        <w:rPr>
          <w:rFonts w:ascii="Arial" w:cs="Arial" w:eastAsia="Arial" w:hAnsi="Arial"/>
          <w:sz w:val="16"/>
          <w:szCs w:val="16"/>
          <w:color w:val="auto"/>
        </w:rPr>
        <w:t>Rollovers represent transfers of account balances of certain participant contributions into certain investments of the Plan from other qualified plans or individual retirement accounts. The Plan does not accept rollovers of after-tax employee contributions or designated Roth contributions.</w:t>
      </w:r>
    </w:p>
    <w:p>
      <w:pPr>
        <w:spacing w:after="0" w:line="5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Participant Accounts</w:t>
      </w:r>
    </w:p>
    <w:p>
      <w:pPr>
        <w:spacing w:after="0" w:line="117" w:lineRule="exact"/>
        <w:rPr>
          <w:sz w:val="20"/>
          <w:szCs w:val="20"/>
          <w:color w:val="auto"/>
        </w:rPr>
      </w:pPr>
    </w:p>
    <w:p>
      <w:pPr>
        <w:ind w:left="480" w:right="180"/>
        <w:spacing w:after="0" w:line="276" w:lineRule="auto"/>
        <w:rPr>
          <w:sz w:val="20"/>
          <w:szCs w:val="20"/>
          <w:color w:val="auto"/>
        </w:rPr>
      </w:pPr>
      <w:r>
        <w:rPr>
          <w:rFonts w:ascii="Arial" w:cs="Arial" w:eastAsia="Arial" w:hAnsi="Arial"/>
          <w:sz w:val="17"/>
          <w:szCs w:val="17"/>
          <w:color w:val="auto"/>
        </w:rPr>
        <w:t>Each participant’s account is credited with the participant’s elective and rollover contributions, the Company’s contribution and an allocation of plan investment earnings (losses), and charged with withdrawals, distributions and fees. Participant accounts are charged quarterly with an allocation of administrative expenses that are paid by the Plan. Allocations are based on account balances, or specific participant transactions, as defined. The benefit to which a participant is entitled is the benefit that can be provided from the participant’s vested account. Except as limited by the Company’s Insider Trading Policy and applicable laws, participants may change their investment options at any time.</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Vesting</w:t>
      </w:r>
    </w:p>
    <w:p>
      <w:pPr>
        <w:spacing w:after="0" w:line="117" w:lineRule="exact"/>
        <w:rPr>
          <w:sz w:val="20"/>
          <w:szCs w:val="20"/>
          <w:color w:val="auto"/>
        </w:rPr>
      </w:pPr>
    </w:p>
    <w:p>
      <w:pPr>
        <w:ind w:left="480" w:right="280"/>
        <w:spacing w:after="0" w:line="342" w:lineRule="auto"/>
        <w:rPr>
          <w:sz w:val="20"/>
          <w:szCs w:val="20"/>
          <w:color w:val="auto"/>
        </w:rPr>
      </w:pPr>
      <w:r>
        <w:rPr>
          <w:rFonts w:ascii="Arial" w:cs="Arial" w:eastAsia="Arial" w:hAnsi="Arial"/>
          <w:sz w:val="16"/>
          <w:szCs w:val="16"/>
          <w:color w:val="auto"/>
        </w:rPr>
        <w:t>Participants are immediately vested in their contributions plus or minus actual earnings or losses thereon. Vesting in the Company’s contributions is graded over five years of credited service. Participants become 100% vested if separated from service due to retirement, death or disability.</w:t>
      </w:r>
    </w:p>
    <w:p>
      <w:pPr>
        <w:spacing w:after="0" w:line="5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Forfeitures</w:t>
      </w:r>
    </w:p>
    <w:p>
      <w:pPr>
        <w:spacing w:after="0" w:line="117" w:lineRule="exact"/>
        <w:rPr>
          <w:sz w:val="20"/>
          <w:szCs w:val="20"/>
          <w:color w:val="auto"/>
        </w:rPr>
      </w:pPr>
    </w:p>
    <w:p>
      <w:pPr>
        <w:ind w:left="480" w:right="140"/>
        <w:spacing w:after="0" w:line="257" w:lineRule="auto"/>
        <w:rPr>
          <w:sz w:val="20"/>
          <w:szCs w:val="20"/>
          <w:color w:val="auto"/>
        </w:rPr>
      </w:pPr>
      <w:r>
        <w:rPr>
          <w:rFonts w:ascii="Arial" w:cs="Arial" w:eastAsia="Arial" w:hAnsi="Arial"/>
          <w:sz w:val="18"/>
          <w:szCs w:val="18"/>
          <w:color w:val="auto"/>
        </w:rPr>
        <w:t>Participants forfeit non-vested company contributions if their employment is terminated. Forfeited non-vested company contributions are used first to pay administrative expenses of the Plan and then to reduce the Company’s contributions. As of December 31, 2017 and 2016, the Plan had forfeitures of approximately $5,000, and $18,000, respectively, available to pay administrative expenses or reduce future company contributions. Forfeitures of approximately $317,000 and $233,000 were used to pay both administrative expenses and reduce employer contributions of the Plan for the years ended December 31, 2017 and 2016,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1" w:right="259" w:bottom="1440" w:gutter="0" w:footer="0" w:header="0"/>
        </w:sectPr>
      </w:pPr>
    </w:p>
    <w:bookmarkStart w:id="6" w:name="page7"/>
    <w:bookmarkEnd w:id="6"/>
    <w:p>
      <w:pPr>
        <w:ind w:left="300"/>
        <w:spacing w:after="0"/>
        <w:rPr>
          <w:sz w:val="20"/>
          <w:szCs w:val="20"/>
          <w:color w:val="auto"/>
        </w:rPr>
      </w:pPr>
      <w:r>
        <w:rPr>
          <w:rFonts w:ascii="Arial" w:cs="Arial" w:eastAsia="Arial" w:hAnsi="Arial"/>
          <w:sz w:val="18"/>
          <w:szCs w:val="18"/>
          <w:i w:val="1"/>
          <w:iCs w:val="1"/>
          <w:color w:val="auto"/>
        </w:rPr>
        <w:t>Notes Receivable from Participants</w:t>
      </w:r>
    </w:p>
    <w:p>
      <w:pPr>
        <w:spacing w:after="0" w:line="117" w:lineRule="exact"/>
        <w:rPr>
          <w:sz w:val="20"/>
          <w:szCs w:val="20"/>
          <w:color w:val="auto"/>
        </w:rPr>
      </w:pPr>
    </w:p>
    <w:p>
      <w:pPr>
        <w:ind w:left="480" w:right="60"/>
        <w:spacing w:after="0" w:line="279" w:lineRule="auto"/>
        <w:rPr>
          <w:sz w:val="20"/>
          <w:szCs w:val="20"/>
          <w:color w:val="auto"/>
        </w:rPr>
      </w:pPr>
      <w:r>
        <w:rPr>
          <w:rFonts w:ascii="Arial" w:cs="Arial" w:eastAsia="Arial" w:hAnsi="Arial"/>
          <w:sz w:val="17"/>
          <w:szCs w:val="17"/>
          <w:color w:val="auto"/>
        </w:rPr>
        <w:t>Participants may borrow from their vested accounts up to a maximum equal to the lesser of $50,000 or 50% of the value of the participant’s vested interest in their account. Loan terms range from one to five years, or up to fifteen years for the purchase of a residence. The loans are collateralized by the balance in the participant’s account and bear interest at the prime rate plus a fixed rate of 1% upon loan origination. Principal and interest are paid ratably through payroll deductions. Participants may only have one loan outstanding at a given time.</w:t>
      </w:r>
    </w:p>
    <w:p>
      <w:pPr>
        <w:spacing w:after="0" w:line="9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Payment of Benefits</w:t>
      </w:r>
    </w:p>
    <w:p>
      <w:pPr>
        <w:spacing w:after="0" w:line="117" w:lineRule="exact"/>
        <w:rPr>
          <w:sz w:val="20"/>
          <w:szCs w:val="20"/>
          <w:color w:val="auto"/>
        </w:rPr>
      </w:pPr>
    </w:p>
    <w:p>
      <w:pPr>
        <w:ind w:left="480" w:right="60"/>
        <w:spacing w:after="0" w:line="277" w:lineRule="auto"/>
        <w:rPr>
          <w:sz w:val="20"/>
          <w:szCs w:val="20"/>
          <w:color w:val="auto"/>
        </w:rPr>
      </w:pPr>
      <w:r>
        <w:rPr>
          <w:rFonts w:ascii="Arial" w:cs="Arial" w:eastAsia="Arial" w:hAnsi="Arial"/>
          <w:sz w:val="18"/>
          <w:szCs w:val="18"/>
          <w:color w:val="auto"/>
        </w:rPr>
        <w:t>A participant who separates from service before retirement, death or disability may request early payment of their vested benefits. Benefits are paid as soon as administratively feasible following the date on which a distribution is requested.</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Separated participants may request an in-kind distribution of the portion of their vested account invested in Urban Outfitters, Inc. common stock.</w:t>
      </w:r>
    </w:p>
    <w:p>
      <w:pPr>
        <w:spacing w:after="0" w:line="129" w:lineRule="exact"/>
        <w:rPr>
          <w:sz w:val="20"/>
          <w:szCs w:val="20"/>
          <w:color w:val="auto"/>
        </w:rPr>
      </w:pPr>
    </w:p>
    <w:p>
      <w:pPr>
        <w:ind w:left="480" w:right="300"/>
        <w:spacing w:after="0" w:line="277" w:lineRule="auto"/>
        <w:rPr>
          <w:sz w:val="20"/>
          <w:szCs w:val="20"/>
          <w:color w:val="auto"/>
        </w:rPr>
      </w:pPr>
      <w:r>
        <w:rPr>
          <w:rFonts w:ascii="Arial" w:cs="Arial" w:eastAsia="Arial" w:hAnsi="Arial"/>
          <w:sz w:val="18"/>
          <w:szCs w:val="18"/>
          <w:color w:val="auto"/>
        </w:rPr>
        <w:t xml:space="preserve">Participants, upon attainment of age 59 </w:t>
      </w:r>
      <w:r>
        <w:rPr>
          <w:rFonts w:ascii="Arial" w:cs="Arial" w:eastAsia="Arial" w:hAnsi="Arial"/>
          <w:sz w:val="15"/>
          <w:szCs w:val="15"/>
          <w:color w:val="auto"/>
        </w:rPr>
        <w:t>1</w:t>
      </w:r>
      <w:r>
        <w:rPr>
          <w:rFonts w:ascii="Arial" w:cs="Arial" w:eastAsia="Arial" w:hAnsi="Arial"/>
          <w:sz w:val="18"/>
          <w:szCs w:val="18"/>
          <w:color w:val="auto"/>
        </w:rPr>
        <w:t>⁄</w:t>
      </w:r>
      <w:r>
        <w:rPr>
          <w:rFonts w:ascii="Arial" w:cs="Arial" w:eastAsia="Arial" w:hAnsi="Arial"/>
          <w:sz w:val="15"/>
          <w:szCs w:val="15"/>
          <w:color w:val="auto"/>
        </w:rPr>
        <w:t>2</w:t>
      </w:r>
      <w:r>
        <w:rPr>
          <w:rFonts w:ascii="Arial" w:cs="Arial" w:eastAsia="Arial" w:hAnsi="Arial"/>
          <w:sz w:val="18"/>
          <w:szCs w:val="18"/>
          <w:color w:val="auto"/>
        </w:rPr>
        <w:t>, may elect to receive in-service distributions. Financial hardship withdrawals are also permitted pending submission of verification to the plan administrator warranting the financial hardship.</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Funding Policy</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 remits employee deferral and company matching contributions to the Plan on a bi-weekly basis.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Basis of Accounting</w:t>
      </w:r>
    </w:p>
    <w:p>
      <w:pPr>
        <w:spacing w:after="0" w:line="117"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color w:val="auto"/>
        </w:rPr>
        <w:t>The financial statements of the Plan are prepared using the accrual basis of accounting in accordance with accounting principles generally accepted in the United States of America except for benefit payments which are recorded when paid.</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left="520" w:right="540"/>
        <w:spacing w:after="0" w:line="264" w:lineRule="auto"/>
        <w:rPr>
          <w:sz w:val="20"/>
          <w:szCs w:val="20"/>
          <w:color w:val="auto"/>
        </w:rPr>
      </w:pPr>
      <w:r>
        <w:rPr>
          <w:rFonts w:ascii="Arial" w:cs="Arial" w:eastAsia="Arial" w:hAnsi="Arial"/>
          <w:sz w:val="18"/>
          <w:szCs w:val="18"/>
          <w:color w:val="auto"/>
        </w:rPr>
        <w:t>The preparation of financial statements in accordance with accounting principles generally accepted in the United States of America requires management to make estimates and assumptions that affect the reported amounts of assets and liabilities and changes therein, and disclosure of contingent assets and liabilities. Actual results could differ from those estimates.</w:t>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Contributions</w:t>
      </w:r>
    </w:p>
    <w:p>
      <w:pPr>
        <w:spacing w:after="0" w:line="117" w:lineRule="exact"/>
        <w:rPr>
          <w:sz w:val="20"/>
          <w:szCs w:val="20"/>
          <w:color w:val="auto"/>
        </w:rPr>
      </w:pPr>
    </w:p>
    <w:p>
      <w:pPr>
        <w:ind w:left="520" w:right="500"/>
        <w:spacing w:after="0" w:line="277" w:lineRule="auto"/>
        <w:rPr>
          <w:sz w:val="20"/>
          <w:szCs w:val="20"/>
          <w:color w:val="auto"/>
        </w:rPr>
      </w:pPr>
      <w:r>
        <w:rPr>
          <w:rFonts w:ascii="Arial" w:cs="Arial" w:eastAsia="Arial" w:hAnsi="Arial"/>
          <w:sz w:val="18"/>
          <w:szCs w:val="18"/>
          <w:color w:val="auto"/>
        </w:rPr>
        <w:t>Participant contributions are recorded when the Company makes payroll deductions from eligible Plan participants. Employer contributions are accrued in the period in which they become obligations of the Company.</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Valuation of Investments</w:t>
      </w:r>
    </w:p>
    <w:p>
      <w:pPr>
        <w:spacing w:after="0" w:line="117" w:lineRule="exact"/>
        <w:rPr>
          <w:sz w:val="20"/>
          <w:szCs w:val="20"/>
          <w:color w:val="auto"/>
        </w:rPr>
      </w:pPr>
    </w:p>
    <w:p>
      <w:pPr>
        <w:ind w:left="520" w:right="40"/>
        <w:spacing w:after="0" w:line="273" w:lineRule="auto"/>
        <w:rPr>
          <w:sz w:val="20"/>
          <w:szCs w:val="20"/>
          <w:color w:val="auto"/>
        </w:rPr>
      </w:pPr>
      <w:r>
        <w:rPr>
          <w:rFonts w:ascii="Arial" w:cs="Arial" w:eastAsia="Arial" w:hAnsi="Arial"/>
          <w:sz w:val="17"/>
          <w:szCs w:val="17"/>
          <w:color w:val="auto"/>
        </w:rPr>
        <w:t>The Plan’s investments are stated at fair value, except for the fully benefit-responsive investment contract, which is stated at contract value. Securities traded on a national securities exchange are valued at the last reported sales price on the last business day of the Plan year. Mutual funds are stated at quoted market prices which represent the net asset value of shares held by the Plan at year-end. Interest-bearing deposits are valued at carrying value, which approximates fair value. Fully benefit-responsive investment contracts are measured at contract value because contract value is the amount participants would receive if they were to initiate permitted transactions under the terms of the contract. The financial statements include the fully benefit-responsive investment contract and its related activity on a contract value basis.</w:t>
      </w:r>
    </w:p>
    <w:p>
      <w:pPr>
        <w:spacing w:after="0" w:line="70"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Purchases and sales of securities are recorded on a trade-date basis. Interest income is recorded on the accrual basis. Dividends are recorded on the ex-dividend date.</w:t>
      </w:r>
    </w:p>
    <w:p>
      <w:pPr>
        <w:spacing w:after="0" w:line="8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Net Appreciation in Fair Value of Investments</w:t>
      </w:r>
    </w:p>
    <w:p>
      <w:pPr>
        <w:spacing w:after="0" w:line="117" w:lineRule="exact"/>
        <w:rPr>
          <w:sz w:val="20"/>
          <w:szCs w:val="20"/>
          <w:color w:val="auto"/>
        </w:rPr>
      </w:pPr>
    </w:p>
    <w:p>
      <w:pPr>
        <w:ind w:left="520" w:right="260"/>
        <w:spacing w:after="0" w:line="277" w:lineRule="auto"/>
        <w:rPr>
          <w:sz w:val="20"/>
          <w:szCs w:val="20"/>
          <w:color w:val="auto"/>
        </w:rPr>
      </w:pPr>
      <w:r>
        <w:rPr>
          <w:rFonts w:ascii="Arial" w:cs="Arial" w:eastAsia="Arial" w:hAnsi="Arial"/>
          <w:sz w:val="18"/>
          <w:szCs w:val="18"/>
          <w:color w:val="auto"/>
        </w:rPr>
        <w:t>The Plan presents, in the Statement of Changes in Net Assets Available for Benefits, the net appreciation in the fair value of its investments, which consists of the net realized gains or losses and the unrealized appreciation or depreciation on these investments.</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Administrative Expenses</w:t>
      </w:r>
    </w:p>
    <w:p>
      <w:pPr>
        <w:spacing w:after="0" w:line="117" w:lineRule="exact"/>
        <w:rPr>
          <w:sz w:val="20"/>
          <w:szCs w:val="20"/>
          <w:color w:val="auto"/>
        </w:rPr>
      </w:pPr>
    </w:p>
    <w:p>
      <w:pPr>
        <w:jc w:val="both"/>
        <w:ind w:left="520" w:right="380"/>
        <w:spacing w:after="0" w:line="312" w:lineRule="auto"/>
        <w:rPr>
          <w:sz w:val="20"/>
          <w:szCs w:val="20"/>
          <w:color w:val="auto"/>
        </w:rPr>
      </w:pPr>
      <w:r>
        <w:rPr>
          <w:rFonts w:ascii="Arial" w:cs="Arial" w:eastAsia="Arial" w:hAnsi="Arial"/>
          <w:sz w:val="16"/>
          <w:szCs w:val="16"/>
          <w:color w:val="auto"/>
        </w:rPr>
        <w:t>Administrative expenses are calculated on a quarterly basis on total Plan Assets based upon average quarterly assets and are subject to offset for revenue received from investments. Any remaining balance, after the application of the offsets, is charged to participant’s accounts on a quarterly basis. Certain expenses of maintaining the Plan are paid for by the Company and are excluded from these financial statements.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03" w:right="299" w:bottom="1440" w:gutter="0" w:footer="0" w:header="0"/>
        </w:sectPr>
      </w:pPr>
    </w:p>
    <w:bookmarkStart w:id="7" w:name="page8"/>
    <w:bookmarkEnd w:id="7"/>
    <w:p>
      <w:pPr>
        <w:ind w:left="300"/>
        <w:spacing w:after="0"/>
        <w:rPr>
          <w:sz w:val="20"/>
          <w:szCs w:val="20"/>
          <w:color w:val="auto"/>
        </w:rPr>
      </w:pPr>
      <w:r>
        <w:rPr>
          <w:rFonts w:ascii="Arial" w:cs="Arial" w:eastAsia="Arial" w:hAnsi="Arial"/>
          <w:sz w:val="18"/>
          <w:szCs w:val="18"/>
          <w:i w:val="1"/>
          <w:iCs w:val="1"/>
          <w:color w:val="auto"/>
        </w:rPr>
        <w:t>Notes Receivable from Participants</w:t>
      </w:r>
    </w:p>
    <w:p>
      <w:pPr>
        <w:spacing w:after="0" w:line="117" w:lineRule="exact"/>
        <w:rPr>
          <w:sz w:val="20"/>
          <w:szCs w:val="20"/>
          <w:color w:val="auto"/>
        </w:rPr>
      </w:pPr>
    </w:p>
    <w:p>
      <w:pPr>
        <w:ind w:left="520" w:right="60"/>
        <w:spacing w:after="0" w:line="259" w:lineRule="auto"/>
        <w:rPr>
          <w:sz w:val="20"/>
          <w:szCs w:val="20"/>
          <w:color w:val="auto"/>
        </w:rPr>
      </w:pPr>
      <w:r>
        <w:rPr>
          <w:rFonts w:ascii="Arial" w:cs="Arial" w:eastAsia="Arial" w:hAnsi="Arial"/>
          <w:sz w:val="18"/>
          <w:szCs w:val="18"/>
          <w:color w:val="auto"/>
        </w:rPr>
        <w:t>Notes receivable from participants are measured at their unpaid principal balance plus any accrued, but unpaid, interest. Interest income is recorded on the accrual basis. Related fees are recorded as administrative expenses and are expensed when they are incurred. No allowance for credit losses has been recorded as of December 31, 2017 or 2016. If a participant ceases to make loan repayments and the recordkeeper deems the participant loan to be in default, the participant loan balance is reduced and a benefit payment is recorded.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left="520" w:right="200"/>
        <w:spacing w:after="0" w:line="259" w:lineRule="auto"/>
        <w:rPr>
          <w:sz w:val="20"/>
          <w:szCs w:val="20"/>
          <w:color w:val="auto"/>
        </w:rPr>
      </w:pPr>
      <w:r>
        <w:rPr>
          <w:rFonts w:ascii="Arial" w:cs="Arial" w:eastAsia="Arial" w:hAnsi="Arial"/>
          <w:sz w:val="18"/>
          <w:szCs w:val="18"/>
          <w:color w:val="auto"/>
        </w:rPr>
        <w:t>Accounting Standards Codification (“ASC”) Topic 820 defines fair value as the price that would be received to sell an asset or paid to transfer a liability in an orderly transaction between market participants at the measurement date and establishes a three-tier hierarchy that is used to identify assets and liabilities measured at fair value. The hierarchy focuses on the inputs used to measure fair value and requires that the lowest level input be used. The three levels defined in ASC Topic 820 are as follows:</w:t>
      </w:r>
    </w:p>
    <w:p>
      <w:pPr>
        <w:spacing w:after="0" w:line="79" w:lineRule="exact"/>
        <w:rPr>
          <w:sz w:val="20"/>
          <w:szCs w:val="20"/>
          <w:color w:val="auto"/>
        </w:rPr>
      </w:pPr>
    </w:p>
    <w:p>
      <w:pPr>
        <w:ind w:left="1020" w:hanging="377"/>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Observable inputs based upon quoted market prices for identical assets or liabilities within active markets.</w:t>
      </w:r>
    </w:p>
    <w:p>
      <w:pPr>
        <w:spacing w:after="0" w:line="117" w:lineRule="exact"/>
        <w:rPr>
          <w:rFonts w:ascii="Arial" w:cs="Arial" w:eastAsia="Arial" w:hAnsi="Arial"/>
          <w:sz w:val="18"/>
          <w:szCs w:val="18"/>
          <w:color w:val="auto"/>
        </w:rPr>
      </w:pPr>
    </w:p>
    <w:p>
      <w:pPr>
        <w:ind w:left="1020" w:right="40" w:hanging="377"/>
        <w:spacing w:after="0" w:line="264"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Observable inputs other than Level 1 that are based upon quoted market prices for similar assets or liabilities, based upon quoted prices within inactive markets, or inputs other than quoted market prices that are observable through market data for substantially the full term of the asset or liability.</w:t>
      </w:r>
    </w:p>
    <w:p>
      <w:pPr>
        <w:spacing w:after="0" w:line="73" w:lineRule="exact"/>
        <w:rPr>
          <w:rFonts w:ascii="Arial" w:cs="Arial" w:eastAsia="Arial" w:hAnsi="Arial"/>
          <w:sz w:val="18"/>
          <w:szCs w:val="18"/>
          <w:color w:val="auto"/>
        </w:rPr>
      </w:pPr>
    </w:p>
    <w:p>
      <w:pPr>
        <w:ind w:left="1020" w:right="140" w:hanging="377"/>
        <w:spacing w:after="0" w:line="342" w:lineRule="auto"/>
        <w:tabs>
          <w:tab w:leader="none" w:pos="102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3: Inputs that are unobservable for the particular asset or liability due to little or no market activity and are significant to the fair value of the asset or liability. These inputs reflect assumptions that market participants would use when valuing the particular asset or liability.</w:t>
      </w:r>
    </w:p>
    <w:p>
      <w:pPr>
        <w:spacing w:after="0" w:line="16" w:lineRule="exact"/>
        <w:rPr>
          <w:sz w:val="20"/>
          <w:szCs w:val="20"/>
          <w:color w:val="auto"/>
        </w:rPr>
      </w:pPr>
    </w:p>
    <w:p>
      <w:pPr>
        <w:ind w:left="520" w:right="100"/>
        <w:spacing w:after="0" w:line="264" w:lineRule="auto"/>
        <w:rPr>
          <w:sz w:val="20"/>
          <w:szCs w:val="20"/>
          <w:color w:val="auto"/>
        </w:rPr>
      </w:pPr>
      <w:r>
        <w:rPr>
          <w:rFonts w:ascii="Arial" w:cs="Arial" w:eastAsia="Arial" w:hAnsi="Arial"/>
          <w:sz w:val="18"/>
          <w:szCs w:val="18"/>
          <w:color w:val="auto"/>
        </w:rPr>
        <w:t>ASC Topic 820 requires the Plan to describe the methodologies used to measure the fair value of assets and liabilities. These methodologies were consistently applied to all assets and liabilities carried by the Plan as of December 31, 2017 and 2016. The Plan has described below, the methodology used to measure each major category of investment assets.</w:t>
      </w:r>
    </w:p>
    <w:p>
      <w:pPr>
        <w:spacing w:after="0" w:line="73" w:lineRule="exact"/>
        <w:rPr>
          <w:sz w:val="20"/>
          <w:szCs w:val="20"/>
          <w:color w:val="auto"/>
        </w:rPr>
      </w:pPr>
    </w:p>
    <w:p>
      <w:pPr>
        <w:ind w:left="1020" w:right="200" w:hanging="377"/>
        <w:spacing w:after="0" w:line="26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Urban Outfitters, Inc. common stock fund is an employer stock fund. The fund consists of Urban Outfitters, Inc. common stock. Urban Outfitters, Inc. common stock is valued at the quoted market price from a national securities exchange which represents fair value. The Urban Outfitters, Inc. common stock fund is classified within Level 1 of the valuation hierarchy.</w:t>
      </w:r>
    </w:p>
    <w:p>
      <w:pPr>
        <w:spacing w:after="0" w:line="73" w:lineRule="exact"/>
        <w:rPr>
          <w:rFonts w:ascii="Arial" w:cs="Arial" w:eastAsia="Arial" w:hAnsi="Arial"/>
          <w:sz w:val="18"/>
          <w:szCs w:val="18"/>
          <w:color w:val="auto"/>
        </w:rPr>
      </w:pPr>
    </w:p>
    <w:p>
      <w:pPr>
        <w:jc w:val="both"/>
        <w:ind w:left="1020" w:right="100" w:hanging="377"/>
        <w:spacing w:after="0" w:line="342"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Mutual funds are valued at the total market value of the underlying assets based on published market prices as of the close of the last day of the plan year. These values represent the net asset values of the shares held by the Plan and are classified within Level 1 of the valuation hierarchy.</w:t>
      </w:r>
    </w:p>
    <w:p>
      <w:pPr>
        <w:spacing w:after="0" w:line="15" w:lineRule="exact"/>
        <w:rPr>
          <w:rFonts w:ascii="Arial" w:cs="Arial" w:eastAsia="Arial" w:hAnsi="Arial"/>
          <w:sz w:val="16"/>
          <w:szCs w:val="16"/>
          <w:color w:val="auto"/>
        </w:rPr>
      </w:pPr>
    </w:p>
    <w:p>
      <w:pPr>
        <w:ind w:left="1020" w:right="720" w:hanging="377"/>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Interest-bearing deposits are valued at carrying value, which approximates fair value, and are classified within Level 1 of the valuation hierarchy.</w:t>
      </w:r>
    </w:p>
    <w:p>
      <w:pPr>
        <w:spacing w:after="0" w:line="62" w:lineRule="exact"/>
        <w:rPr>
          <w:sz w:val="20"/>
          <w:szCs w:val="20"/>
          <w:color w:val="auto"/>
        </w:rPr>
      </w:pPr>
    </w:p>
    <w:p>
      <w:pPr>
        <w:ind w:left="520" w:right="400"/>
        <w:spacing w:after="0" w:line="308" w:lineRule="auto"/>
        <w:rPr>
          <w:sz w:val="20"/>
          <w:szCs w:val="20"/>
          <w:color w:val="auto"/>
        </w:rPr>
      </w:pPr>
      <w:r>
        <w:rPr>
          <w:rFonts w:ascii="Arial" w:cs="Arial" w:eastAsia="Arial" w:hAnsi="Arial"/>
          <w:sz w:val="17"/>
          <w:szCs w:val="17"/>
          <w:color w:val="auto"/>
        </w:rPr>
        <w:t>The following tables present the fair value of investment assets as of December 31, 2017 and 2016 by type of asset and by the valuation hierarchy described above. The Plan had no assets that were classified as Level 2 or 3 as of December 31, 2017 and 2016.</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20" w:type="dxa"/>
            <w:vAlign w:val="bottom"/>
            <w:gridSpan w:val="4"/>
          </w:tcPr>
          <w:p>
            <w:pPr>
              <w:jc w:val="center"/>
              <w:ind w:right="274"/>
              <w:spacing w:after="0"/>
              <w:rPr>
                <w:sz w:val="20"/>
                <w:szCs w:val="20"/>
                <w:color w:val="auto"/>
              </w:rPr>
            </w:pPr>
            <w:r>
              <w:rPr>
                <w:rFonts w:ascii="Arial" w:cs="Arial" w:eastAsia="Arial" w:hAnsi="Arial"/>
                <w:sz w:val="14"/>
                <w:szCs w:val="14"/>
                <w:b w:val="1"/>
                <w:bCs w:val="1"/>
                <w:color w:val="auto"/>
                <w:w w:val="93"/>
              </w:rPr>
              <w:t>Fair Value Measurements at</w:t>
            </w: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40" w:type="dxa"/>
            <w:vAlign w:val="bottom"/>
            <w:gridSpan w:val="2"/>
            <w:vMerge w:val="restart"/>
          </w:tcPr>
          <w:p>
            <w:pPr>
              <w:ind w:left="1720"/>
              <w:spacing w:after="0"/>
              <w:rPr>
                <w:sz w:val="20"/>
                <w:szCs w:val="20"/>
                <w:color w:val="auto"/>
              </w:rPr>
            </w:pPr>
            <w:r>
              <w:rPr>
                <w:rFonts w:ascii="Arial" w:cs="Arial" w:eastAsia="Arial" w:hAnsi="Arial"/>
                <w:sz w:val="18"/>
                <w:szCs w:val="18"/>
                <w:b w:val="1"/>
                <w:bCs w:val="1"/>
                <w:color w:val="auto"/>
              </w:rPr>
              <w:t>Description</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center"/>
              <w:ind w:left="638"/>
              <w:spacing w:after="0"/>
              <w:rPr>
                <w:sz w:val="20"/>
                <w:szCs w:val="20"/>
                <w:color w:val="auto"/>
              </w:rPr>
            </w:pPr>
            <w:r>
              <w:rPr>
                <w:rFonts w:ascii="Arial" w:cs="Arial" w:eastAsia="Arial" w:hAnsi="Arial"/>
                <w:sz w:val="14"/>
                <w:szCs w:val="14"/>
                <w:b w:val="1"/>
                <w:bCs w:val="1"/>
                <w:color w:val="auto"/>
                <w:w w:val="91"/>
              </w:rPr>
              <w:t>December 31, 2017</w:t>
            </w:r>
          </w:p>
        </w:tc>
        <w:tc>
          <w:tcPr>
            <w:tcW w:w="110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4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418"/>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594"/>
              <w:spacing w:after="0"/>
              <w:rPr>
                <w:sz w:val="20"/>
                <w:szCs w:val="20"/>
                <w:color w:val="auto"/>
              </w:rPr>
            </w:pPr>
            <w:r>
              <w:rPr>
                <w:rFonts w:ascii="Arial" w:cs="Arial" w:eastAsia="Arial" w:hAnsi="Arial"/>
                <w:sz w:val="14"/>
                <w:szCs w:val="14"/>
                <w:b w:val="1"/>
                <w:bCs w:val="1"/>
                <w:color w:val="auto"/>
              </w:rPr>
              <w:t>Total</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Urban Outfitters, Inc. common stock fund</w:t>
            </w:r>
          </w:p>
        </w:tc>
        <w:tc>
          <w:tcPr>
            <w:tcW w:w="5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13,013,252</w:t>
            </w:r>
          </w:p>
        </w:tc>
        <w:tc>
          <w:tcPr>
            <w:tcW w:w="380" w:type="dxa"/>
            <w:vAlign w:val="bottom"/>
          </w:tcPr>
          <w:p>
            <w:pPr>
              <w:spacing w:after="0"/>
              <w:rPr>
                <w:sz w:val="19"/>
                <w:szCs w:val="19"/>
                <w:color w:val="auto"/>
              </w:rPr>
            </w:pPr>
          </w:p>
        </w:tc>
        <w:tc>
          <w:tcPr>
            <w:tcW w:w="500" w:type="dxa"/>
            <w:vAlign w:val="bottom"/>
            <w:tcBorders>
              <w:top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13,013,252</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Mutual funds</w:t>
            </w: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128,837,691</w:t>
            </w:r>
          </w:p>
        </w:tc>
        <w:tc>
          <w:tcPr>
            <w:tcW w:w="3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128,837,691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Interest-bearing deposits</w:t>
            </w:r>
          </w:p>
        </w:tc>
        <w:tc>
          <w:tcPr>
            <w:tcW w:w="520" w:type="dxa"/>
            <w:vAlign w:val="bottom"/>
            <w:tcBorders>
              <w:bottom w:val="single" w:sz="8" w:color="CFF0FC"/>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3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investments at fair value</w:t>
            </w:r>
          </w:p>
        </w:tc>
        <w:tc>
          <w:tcPr>
            <w:tcW w:w="840" w:type="dxa"/>
            <w:vAlign w:val="bottom"/>
            <w:tcBorders>
              <w:bottom w:val="single" w:sz="8" w:color="CFF0FC"/>
            </w:tcBorders>
            <w:gridSpan w:val="2"/>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141,851,876</w:t>
            </w:r>
          </w:p>
        </w:tc>
        <w:tc>
          <w:tcPr>
            <w:tcW w:w="3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141,851,876</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17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gridSpan w:val="4"/>
          </w:tcPr>
          <w:p>
            <w:pPr>
              <w:jc w:val="center"/>
              <w:ind w:right="274"/>
              <w:spacing w:after="0"/>
              <w:rPr>
                <w:sz w:val="20"/>
                <w:szCs w:val="20"/>
                <w:color w:val="auto"/>
              </w:rPr>
            </w:pPr>
            <w:r>
              <w:rPr>
                <w:rFonts w:ascii="Arial" w:cs="Arial" w:eastAsia="Arial" w:hAnsi="Arial"/>
                <w:sz w:val="14"/>
                <w:szCs w:val="14"/>
                <w:b w:val="1"/>
                <w:bCs w:val="1"/>
                <w:color w:val="auto"/>
                <w:w w:val="93"/>
              </w:rPr>
              <w:t>Fair Value Measurements at</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340" w:type="dxa"/>
            <w:vAlign w:val="bottom"/>
            <w:gridSpan w:val="2"/>
            <w:vMerge w:val="restart"/>
          </w:tcPr>
          <w:p>
            <w:pPr>
              <w:ind w:left="1720"/>
              <w:spacing w:after="0"/>
              <w:rPr>
                <w:sz w:val="20"/>
                <w:szCs w:val="20"/>
                <w:color w:val="auto"/>
              </w:rPr>
            </w:pPr>
            <w:r>
              <w:rPr>
                <w:rFonts w:ascii="Arial" w:cs="Arial" w:eastAsia="Arial" w:hAnsi="Arial"/>
                <w:sz w:val="18"/>
                <w:szCs w:val="18"/>
                <w:b w:val="1"/>
                <w:bCs w:val="1"/>
                <w:color w:val="auto"/>
              </w:rPr>
              <w:t>Description</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center"/>
              <w:ind w:left="638"/>
              <w:spacing w:after="0"/>
              <w:rPr>
                <w:sz w:val="20"/>
                <w:szCs w:val="20"/>
                <w:color w:val="auto"/>
              </w:rPr>
            </w:pPr>
            <w:r>
              <w:rPr>
                <w:rFonts w:ascii="Arial" w:cs="Arial" w:eastAsia="Arial" w:hAnsi="Arial"/>
                <w:sz w:val="14"/>
                <w:szCs w:val="14"/>
                <w:b w:val="1"/>
                <w:bCs w:val="1"/>
                <w:color w:val="auto"/>
                <w:w w:val="91"/>
              </w:rPr>
              <w:t>December 31, 2016</w:t>
            </w:r>
          </w:p>
        </w:tc>
        <w:tc>
          <w:tcPr>
            <w:tcW w:w="110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4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ind w:right="418"/>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ind w:right="594"/>
              <w:spacing w:after="0"/>
              <w:rPr>
                <w:sz w:val="20"/>
                <w:szCs w:val="20"/>
                <w:color w:val="auto"/>
              </w:rPr>
            </w:pPr>
            <w:r>
              <w:rPr>
                <w:rFonts w:ascii="Arial" w:cs="Arial" w:eastAsia="Arial" w:hAnsi="Arial"/>
                <w:sz w:val="14"/>
                <w:szCs w:val="14"/>
                <w:b w:val="1"/>
                <w:bCs w:val="1"/>
                <w:color w:val="auto"/>
              </w:rPr>
              <w:t>Total</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20" w:type="dxa"/>
            <w:vAlign w:val="bottom"/>
            <w:tcBorders>
              <w:top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Urban Outfitters, Inc. common stock fund</w:t>
            </w:r>
          </w:p>
        </w:tc>
        <w:tc>
          <w:tcPr>
            <w:tcW w:w="5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10,996,561</w:t>
            </w:r>
          </w:p>
        </w:tc>
        <w:tc>
          <w:tcPr>
            <w:tcW w:w="3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10,996,561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Mutual funds</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98,430,523</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98,430,523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Interest-bearing deposits</w:t>
            </w: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3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620" w:type="dxa"/>
            <w:vAlign w:val="bottom"/>
          </w:tcPr>
          <w:p>
            <w:pPr>
              <w:ind w:left="240"/>
              <w:spacing w:after="0"/>
              <w:rPr>
                <w:sz w:val="20"/>
                <w:szCs w:val="20"/>
                <w:color w:val="auto"/>
              </w:rPr>
            </w:pPr>
            <w:r>
              <w:rPr>
                <w:rFonts w:ascii="Arial" w:cs="Arial" w:eastAsia="Arial" w:hAnsi="Arial"/>
                <w:sz w:val="18"/>
                <w:szCs w:val="18"/>
                <w:color w:val="auto"/>
              </w:rPr>
              <w:t>Total investments at fair value</w:t>
            </w: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109,427,835</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109,427,835</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20" w:type="dxa"/>
            <w:vAlign w:val="bottom"/>
            <w:vMerge w:val="restart"/>
          </w:tcPr>
          <w:p>
            <w:pPr>
              <w:jc w:val="right"/>
              <w:ind w:right="1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7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03"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4.  Fully Benefit-Responsive Investment Contract</w:t>
      </w:r>
    </w:p>
    <w:p>
      <w:pPr>
        <w:spacing w:after="0" w:line="121" w:lineRule="exact"/>
        <w:rPr>
          <w:sz w:val="20"/>
          <w:szCs w:val="20"/>
          <w:color w:val="auto"/>
        </w:rPr>
      </w:pPr>
    </w:p>
    <w:p>
      <w:pPr>
        <w:ind w:left="520" w:right="600"/>
        <w:spacing w:after="0" w:line="277" w:lineRule="auto"/>
        <w:rPr>
          <w:sz w:val="20"/>
          <w:szCs w:val="20"/>
          <w:color w:val="auto"/>
        </w:rPr>
      </w:pPr>
      <w:r>
        <w:rPr>
          <w:rFonts w:ascii="Arial" w:cs="Arial" w:eastAsia="Arial" w:hAnsi="Arial"/>
          <w:sz w:val="18"/>
          <w:szCs w:val="18"/>
          <w:color w:val="auto"/>
        </w:rPr>
        <w:t>The Prudential Guaranteed Income Fund (“GIF”) is a group annuity insurance contract issued by Prudential Retirement Insurance and Annuity Company (“PRIAC’’) and is backed by the full faith and creditworthiness of the issuer.</w:t>
      </w:r>
    </w:p>
    <w:p>
      <w:pPr>
        <w:spacing w:after="0" w:line="62" w:lineRule="exact"/>
        <w:rPr>
          <w:sz w:val="20"/>
          <w:szCs w:val="20"/>
          <w:color w:val="auto"/>
        </w:rPr>
      </w:pPr>
    </w:p>
    <w:p>
      <w:pPr>
        <w:ind w:left="520" w:right="80"/>
        <w:spacing w:after="0" w:line="264" w:lineRule="auto"/>
        <w:rPr>
          <w:sz w:val="20"/>
          <w:szCs w:val="20"/>
          <w:color w:val="auto"/>
        </w:rPr>
      </w:pPr>
      <w:r>
        <w:rPr>
          <w:rFonts w:ascii="Arial" w:cs="Arial" w:eastAsia="Arial" w:hAnsi="Arial"/>
          <w:sz w:val="18"/>
          <w:szCs w:val="18"/>
          <w:color w:val="auto"/>
        </w:rPr>
        <w:t>Under the group annuity insurance contract that supports this product, participants may ordinarily direct permitted withdrawal or transfers of all or a portion of their account balance at contract value within reasonable timeframes. Contract value represents deposits made to the contract, plus earnings at guaranteed crediting rates, less withdrawals and fees.</w:t>
      </w:r>
    </w:p>
    <w:p>
      <w:pPr>
        <w:spacing w:after="0" w:line="73" w:lineRule="exact"/>
        <w:rPr>
          <w:sz w:val="20"/>
          <w:szCs w:val="20"/>
          <w:color w:val="auto"/>
        </w:rPr>
      </w:pPr>
    </w:p>
    <w:p>
      <w:pPr>
        <w:ind w:left="520" w:right="140"/>
        <w:spacing w:after="0" w:line="264" w:lineRule="auto"/>
        <w:rPr>
          <w:sz w:val="20"/>
          <w:szCs w:val="20"/>
          <w:color w:val="auto"/>
        </w:rPr>
      </w:pPr>
      <w:r>
        <w:rPr>
          <w:rFonts w:ascii="Arial" w:cs="Arial" w:eastAsia="Arial" w:hAnsi="Arial"/>
          <w:sz w:val="18"/>
          <w:szCs w:val="18"/>
          <w:color w:val="auto"/>
        </w:rPr>
        <w:t>The GIF is a traditional guaranteed investment contract (“GIC”) and deemed to be fully benefit-responsive. Since the GIF is fully benefit-responsive, contract value is the relevant measurement. Contract value, as reported by PRIAC, represents contributions made under the contract, plus earnings, less participant withdrawals and administrative fees.</w:t>
      </w:r>
    </w:p>
    <w:p>
      <w:pPr>
        <w:spacing w:after="0" w:line="73" w:lineRule="exact"/>
        <w:rPr>
          <w:sz w:val="20"/>
          <w:szCs w:val="20"/>
          <w:color w:val="auto"/>
        </w:rPr>
      </w:pPr>
    </w:p>
    <w:p>
      <w:pPr>
        <w:ind w:left="520" w:right="220"/>
        <w:spacing w:after="0" w:line="264" w:lineRule="auto"/>
        <w:rPr>
          <w:sz w:val="20"/>
          <w:szCs w:val="20"/>
          <w:color w:val="auto"/>
        </w:rPr>
      </w:pPr>
      <w:r>
        <w:rPr>
          <w:rFonts w:ascii="Arial" w:cs="Arial" w:eastAsia="Arial" w:hAnsi="Arial"/>
          <w:sz w:val="18"/>
          <w:szCs w:val="18"/>
          <w:color w:val="auto"/>
        </w:rPr>
        <w:t>Generally, there are not any events that could limit the ability of the Plan to transact at contract value paid with 90 days notice or contract value paid over time. There are not any events that allow the issuer to terminate the contract and which require the Plan to settle at an amount different than contract value paid either with 90 days notice or over time.</w:t>
      </w:r>
    </w:p>
    <w:p>
      <w:pPr>
        <w:spacing w:after="0" w:line="73" w:lineRule="exact"/>
        <w:rPr>
          <w:sz w:val="20"/>
          <w:szCs w:val="20"/>
          <w:color w:val="auto"/>
        </w:rPr>
      </w:pPr>
    </w:p>
    <w:p>
      <w:pPr>
        <w:jc w:val="both"/>
        <w:ind w:left="520" w:right="200"/>
        <w:spacing w:after="0" w:line="264" w:lineRule="auto"/>
        <w:rPr>
          <w:sz w:val="20"/>
          <w:szCs w:val="20"/>
          <w:color w:val="auto"/>
        </w:rPr>
      </w:pPr>
      <w:r>
        <w:rPr>
          <w:rFonts w:ascii="Arial" w:cs="Arial" w:eastAsia="Arial" w:hAnsi="Arial"/>
          <w:sz w:val="18"/>
          <w:szCs w:val="18"/>
          <w:color w:val="auto"/>
        </w:rPr>
        <w:t>Interest is credited on contract balances using a single “portfolio rate” approach. Under this methodology, a single interest crediting rate is applied to all contributions made to the product regardless of the timing of those contributions. Interest crediting rates are reviewed on a semi-annual basis for resetting. The minimum credit rate under the contract is 1.50%.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Refundable Contributions</w:t>
      </w:r>
    </w:p>
    <w:p>
      <w:pPr>
        <w:spacing w:after="0" w:line="121" w:lineRule="exact"/>
        <w:rPr>
          <w:sz w:val="20"/>
          <w:szCs w:val="20"/>
          <w:color w:val="auto"/>
        </w:rPr>
      </w:pPr>
    </w:p>
    <w:p>
      <w:pPr>
        <w:ind w:left="520" w:right="80"/>
        <w:spacing w:after="0" w:line="259" w:lineRule="auto"/>
        <w:rPr>
          <w:sz w:val="20"/>
          <w:szCs w:val="20"/>
          <w:color w:val="auto"/>
        </w:rPr>
      </w:pPr>
      <w:r>
        <w:rPr>
          <w:rFonts w:ascii="Arial" w:cs="Arial" w:eastAsia="Arial" w:hAnsi="Arial"/>
          <w:sz w:val="18"/>
          <w:szCs w:val="18"/>
          <w:color w:val="auto"/>
        </w:rPr>
        <w:t>In order to satisfy the relevant non-discrimination provisions of the Plan, the Plan refunds any excess deferral contributions and related net gains or losses of certain active participants. Refundable contributions at December 31, 2017 and 2016 were $389,141 and $812,165, respectively. Refunds are issued to participants in the month of March subsequent to each plan year. Contributions received from participants have been reduced by the refundable contributions at December 31,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Plan Termination</w:t>
      </w:r>
    </w:p>
    <w:p>
      <w:pPr>
        <w:spacing w:after="0" w:line="121" w:lineRule="exact"/>
        <w:rPr>
          <w:sz w:val="20"/>
          <w:szCs w:val="20"/>
          <w:color w:val="auto"/>
        </w:rPr>
      </w:pPr>
    </w:p>
    <w:p>
      <w:pPr>
        <w:ind w:left="520" w:right="560"/>
        <w:spacing w:after="0" w:line="342" w:lineRule="auto"/>
        <w:rPr>
          <w:sz w:val="20"/>
          <w:szCs w:val="20"/>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plan termination, participants will become 100% vested in their accounts.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and Party-in-Interest Transactions</w:t>
      </w:r>
    </w:p>
    <w:p>
      <w:pPr>
        <w:spacing w:after="0" w:line="121" w:lineRule="exact"/>
        <w:rPr>
          <w:sz w:val="20"/>
          <w:szCs w:val="20"/>
          <w:color w:val="auto"/>
        </w:rPr>
      </w:pPr>
    </w:p>
    <w:p>
      <w:pPr>
        <w:ind w:left="520" w:right="120"/>
        <w:spacing w:after="0" w:line="277" w:lineRule="auto"/>
        <w:rPr>
          <w:sz w:val="20"/>
          <w:szCs w:val="20"/>
          <w:color w:val="auto"/>
        </w:rPr>
      </w:pPr>
      <w:r>
        <w:rPr>
          <w:rFonts w:ascii="Arial" w:cs="Arial" w:eastAsia="Arial" w:hAnsi="Arial"/>
          <w:sz w:val="18"/>
          <w:szCs w:val="18"/>
          <w:color w:val="auto"/>
        </w:rPr>
        <w:t>Certain plan investments qualify as related party and party-in-interest transactions. These include shares of the Company’s common stock, shares of a money market fund, shares of a GIC and mutual funds.</w:t>
      </w:r>
    </w:p>
    <w:p>
      <w:pPr>
        <w:spacing w:after="0" w:line="62" w:lineRule="exact"/>
        <w:rPr>
          <w:sz w:val="20"/>
          <w:szCs w:val="20"/>
          <w:color w:val="auto"/>
        </w:rPr>
      </w:pPr>
    </w:p>
    <w:p>
      <w:pPr>
        <w:ind w:left="520" w:right="100"/>
        <w:spacing w:after="0" w:line="308" w:lineRule="auto"/>
        <w:rPr>
          <w:sz w:val="20"/>
          <w:szCs w:val="20"/>
          <w:color w:val="auto"/>
        </w:rPr>
      </w:pPr>
      <w:r>
        <w:rPr>
          <w:rFonts w:ascii="Arial" w:cs="Arial" w:eastAsia="Arial" w:hAnsi="Arial"/>
          <w:sz w:val="17"/>
          <w:szCs w:val="17"/>
          <w:color w:val="auto"/>
        </w:rPr>
        <w:t>The investments held in Urban Outfitters Inc. common stock were $13,013,252 and $10,996,561 at December 31, 2017 and 2016, respectively, which comprises approximately 8% and 9% of net assets available for benefits at December 31, 2017 and 2016, respectively.</w:t>
      </w:r>
    </w:p>
    <w:p>
      <w:pPr>
        <w:spacing w:after="0" w:line="38" w:lineRule="exact"/>
        <w:rPr>
          <w:sz w:val="20"/>
          <w:szCs w:val="20"/>
          <w:color w:val="auto"/>
        </w:rPr>
      </w:pPr>
    </w:p>
    <w:p>
      <w:pPr>
        <w:ind w:left="520"/>
        <w:spacing w:after="0" w:line="264" w:lineRule="auto"/>
        <w:rPr>
          <w:sz w:val="20"/>
          <w:szCs w:val="20"/>
          <w:color w:val="auto"/>
        </w:rPr>
      </w:pPr>
      <w:r>
        <w:rPr>
          <w:rFonts w:ascii="Arial" w:cs="Arial" w:eastAsia="Arial" w:hAnsi="Arial"/>
          <w:sz w:val="18"/>
          <w:szCs w:val="18"/>
          <w:color w:val="auto"/>
        </w:rPr>
        <w:t>The Plan holds a money market fund (Fidelity Cash Reserves Fund) and select mutual funds (Fidelity Spartan Funds) managed by Fidelity. At December 31, 2017 and 2016, the Plan held $933 and $751 of the Fidelity Cash Reserves Fund. The total balance of mutual funds managed by Fidelity at December 31, 2017 and 2016 was $19,355,501 and $15,687,461, respectively.</w:t>
      </w:r>
    </w:p>
    <w:p>
      <w:pPr>
        <w:spacing w:after="0" w:line="73" w:lineRule="exact"/>
        <w:rPr>
          <w:sz w:val="20"/>
          <w:szCs w:val="20"/>
          <w:color w:val="auto"/>
        </w:rPr>
      </w:pPr>
    </w:p>
    <w:p>
      <w:pPr>
        <w:ind w:left="520" w:right="120"/>
        <w:spacing w:after="0" w:line="259" w:lineRule="auto"/>
        <w:rPr>
          <w:sz w:val="20"/>
          <w:szCs w:val="20"/>
          <w:color w:val="auto"/>
        </w:rPr>
      </w:pPr>
      <w:r>
        <w:rPr>
          <w:rFonts w:ascii="Arial" w:cs="Arial" w:eastAsia="Arial" w:hAnsi="Arial"/>
          <w:sz w:val="18"/>
          <w:szCs w:val="18"/>
          <w:color w:val="auto"/>
        </w:rPr>
        <w:t>The Plan has an agreement with Fidelity for record keeping and administrative services with a fixed basis point pricing. The pricing is calculated on a quarterly basis on total Plan Assets based upon average quarterly assets and is subject to offset for revenue received from Fidelity and Non-Fidelity investments as outlined in the agreement. Any remaining balance, after the application of the offsets, will be charged to participant accounts on a quarterly basis.</w:t>
      </w:r>
    </w:p>
    <w:p>
      <w:pPr>
        <w:spacing w:after="0" w:line="79" w:lineRule="exact"/>
        <w:rPr>
          <w:sz w:val="20"/>
          <w:szCs w:val="20"/>
          <w:color w:val="auto"/>
        </w:rPr>
      </w:pPr>
    </w:p>
    <w:p>
      <w:pPr>
        <w:ind w:left="520" w:right="80"/>
        <w:spacing w:after="0" w:line="308" w:lineRule="auto"/>
        <w:rPr>
          <w:sz w:val="20"/>
          <w:szCs w:val="20"/>
          <w:color w:val="auto"/>
        </w:rPr>
      </w:pPr>
      <w:r>
        <w:rPr>
          <w:rFonts w:ascii="Arial" w:cs="Arial" w:eastAsia="Arial" w:hAnsi="Arial"/>
          <w:sz w:val="17"/>
          <w:szCs w:val="17"/>
          <w:color w:val="auto"/>
        </w:rPr>
        <w:t>Notes receivable from participants represent a portion of the Plan’s receivables. These transactions also qualify as party-in-interest transactions. Notes receivable from participants to the Plan were $2,182,444 and $2,188,154 as of December 31, 2017 and 2016,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 Status</w:t>
      </w:r>
    </w:p>
    <w:p>
      <w:pPr>
        <w:spacing w:after="0" w:line="121" w:lineRule="exact"/>
        <w:rPr>
          <w:sz w:val="20"/>
          <w:szCs w:val="20"/>
          <w:color w:val="auto"/>
        </w:rPr>
      </w:pPr>
    </w:p>
    <w:p>
      <w:pPr>
        <w:ind w:left="520" w:right="140"/>
        <w:spacing w:after="0" w:line="264" w:lineRule="auto"/>
        <w:rPr>
          <w:sz w:val="20"/>
          <w:szCs w:val="20"/>
          <w:color w:val="auto"/>
        </w:rPr>
      </w:pPr>
      <w:r>
        <w:rPr>
          <w:rFonts w:ascii="Arial" w:cs="Arial" w:eastAsia="Arial" w:hAnsi="Arial"/>
          <w:sz w:val="18"/>
          <w:szCs w:val="18"/>
          <w:color w:val="auto"/>
        </w:rPr>
        <w:t>The Plan is based on Fidelity Management &amp; Research Co.’s Volume Submitter Profit Sharing Plan with Cash or Deferred Arrangements (“CODA”). The Internal Revenue Service (“IRS”) ruled on March 31, 2014 that the Plan qualifies under Section 401(a) of the Internal Revenue Code (“IRC”) under the volume submitter program and the related trust is, therefore, not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9" w:name="page10"/>
    <w:bookmarkEnd w:id="9"/>
    <w:p>
      <w:pPr>
        <w:ind w:left="520" w:right="440"/>
        <w:spacing w:after="0" w:line="342" w:lineRule="auto"/>
        <w:rPr>
          <w:sz w:val="20"/>
          <w:szCs w:val="20"/>
          <w:color w:val="auto"/>
        </w:rPr>
      </w:pPr>
      <w:r>
        <w:rPr>
          <w:rFonts w:ascii="Arial" w:cs="Arial" w:eastAsia="Arial" w:hAnsi="Arial"/>
          <w:sz w:val="16"/>
          <w:szCs w:val="16"/>
          <w:color w:val="auto"/>
        </w:rPr>
        <w:t>subject to tax under the present income tax law. The Plan is required to operate in conformity with the IRC to maintain its qualification. The Plan administration believes that the Plan is designed and is currently being operated in compliance with the applicable requirements of the IRC.</w:t>
      </w:r>
    </w:p>
    <w:p>
      <w:pPr>
        <w:spacing w:after="0" w:line="16" w:lineRule="exact"/>
        <w:rPr>
          <w:sz w:val="20"/>
          <w:szCs w:val="20"/>
          <w:color w:val="auto"/>
        </w:rPr>
      </w:pPr>
    </w:p>
    <w:p>
      <w:pPr>
        <w:ind w:left="520" w:right="140"/>
        <w:spacing w:after="0" w:line="255" w:lineRule="auto"/>
        <w:rPr>
          <w:sz w:val="20"/>
          <w:szCs w:val="20"/>
          <w:color w:val="auto"/>
        </w:rPr>
      </w:pPr>
      <w:r>
        <w:rPr>
          <w:rFonts w:ascii="Arial" w:cs="Arial" w:eastAsia="Arial" w:hAnsi="Arial"/>
          <w:sz w:val="18"/>
          <w:szCs w:val="18"/>
          <w:color w:val="auto"/>
        </w:rPr>
        <w:t>Accounting principles generally accepted in the United States of America require Plan management to evaluate tax positions taken by the Plan and recognize a tax liability (or asset) if the Plan has taken an uncertain position that more likely than not would not be sustained upon examination by federal, state and/or local taxing authorities. Plan management has analyzed the tax positions taken by the Plan, and has concluded that as of December 31, 2017, there are no uncertain positions taken or expected to be taken that would require recognition of a liability (or asset) or disclosure in the financial statements. The Plan is subject to routine examinations by taxing jurisdictions; however, there are currently no audits for any tax periods currently in progress.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Risks and Uncertainties</w:t>
      </w:r>
    </w:p>
    <w:p>
      <w:pPr>
        <w:spacing w:after="0" w:line="121" w:lineRule="exact"/>
        <w:rPr>
          <w:sz w:val="20"/>
          <w:szCs w:val="20"/>
          <w:color w:val="auto"/>
        </w:rPr>
      </w:pPr>
    </w:p>
    <w:p>
      <w:pPr>
        <w:ind w:left="520"/>
        <w:spacing w:after="0" w:line="259" w:lineRule="auto"/>
        <w:rPr>
          <w:sz w:val="20"/>
          <w:szCs w:val="20"/>
          <w:color w:val="auto"/>
        </w:rPr>
      </w:pPr>
      <w:r>
        <w:rPr>
          <w:rFonts w:ascii="Arial" w:cs="Arial" w:eastAsia="Arial" w:hAnsi="Arial"/>
          <w:sz w:val="18"/>
          <w:szCs w:val="18"/>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 account balances and the amounts reported in the Statement of Net Assets Available for Benefits.</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10. Subsequent Events</w:t>
      </w:r>
    </w:p>
    <w:p>
      <w:pPr>
        <w:spacing w:after="0" w:line="121" w:lineRule="exact"/>
        <w:rPr>
          <w:sz w:val="20"/>
          <w:szCs w:val="20"/>
          <w:color w:val="auto"/>
        </w:rPr>
      </w:pPr>
    </w:p>
    <w:p>
      <w:pPr>
        <w:ind w:left="520" w:right="180"/>
        <w:spacing w:after="0" w:line="264" w:lineRule="auto"/>
        <w:rPr>
          <w:sz w:val="20"/>
          <w:szCs w:val="20"/>
          <w:color w:val="auto"/>
        </w:rPr>
      </w:pPr>
      <w:r>
        <w:rPr>
          <w:rFonts w:ascii="Arial" w:cs="Arial" w:eastAsia="Arial" w:hAnsi="Arial"/>
          <w:sz w:val="18"/>
          <w:szCs w:val="18"/>
          <w:color w:val="auto"/>
        </w:rPr>
        <w:t>The Company has evaluated the effects of events that have occurred subsequent to December 31, 2017, through the issuance of these financial statements and have identified the following subsequent event: The Plan was amended in March 2018 to allow after-tax Roth contributions and Roth rollovers to the Plan effective May 1, 2018.</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URBAN OUTFITTERS,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401(k) SAVINGS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EIN: 23-2003332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H, LINE 4i—SCHEDULE OF ASSETS (HELD AT END OF YEAR)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2017</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gridSpan w:val="2"/>
          </w:tcPr>
          <w:p>
            <w:pPr>
              <w:ind w:left="160"/>
              <w:spacing w:after="0"/>
              <w:rPr>
                <w:sz w:val="20"/>
                <w:szCs w:val="20"/>
                <w:color w:val="auto"/>
              </w:rPr>
            </w:pPr>
            <w:r>
              <w:rPr>
                <w:rFonts w:ascii="Arial" w:cs="Arial" w:eastAsia="Arial" w:hAnsi="Arial"/>
                <w:sz w:val="14"/>
                <w:szCs w:val="14"/>
                <w:b w:val="1"/>
                <w:bCs w:val="1"/>
                <w:color w:val="auto"/>
              </w:rPr>
              <w:t>(a)</w:t>
            </w:r>
          </w:p>
        </w:tc>
        <w:tc>
          <w:tcPr>
            <w:tcW w:w="650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420" w:type="dxa"/>
            <w:vAlign w:val="bottom"/>
          </w:tcPr>
          <w:p>
            <w:pPr>
              <w:spacing w:after="0"/>
              <w:rPr>
                <w:sz w:val="14"/>
                <w:szCs w:val="14"/>
                <w:color w:val="auto"/>
              </w:rPr>
            </w:pPr>
          </w:p>
        </w:tc>
        <w:tc>
          <w:tcPr>
            <w:tcW w:w="2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w:t>
            </w:r>
          </w:p>
        </w:tc>
        <w:tc>
          <w:tcPr>
            <w:tcW w:w="200" w:type="dxa"/>
            <w:vAlign w:val="bottom"/>
          </w:tcPr>
          <w:p>
            <w:pPr>
              <w:spacing w:after="0"/>
              <w:rPr>
                <w:sz w:val="14"/>
                <w:szCs w:val="14"/>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6"/>
        </w:trPr>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32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b w:val="1"/>
                <w:bCs w:val="1"/>
                <w:color w:val="auto"/>
              </w:rPr>
              <w:t>DESCRIPTION OF INVESTMENT</w:t>
            </w: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INCLUDING MATURITY DATE,</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RATE OF INTEREST,</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500" w:type="dxa"/>
            <w:vAlign w:val="bottom"/>
          </w:tcPr>
          <w:p>
            <w:pPr>
              <w:jc w:val="center"/>
              <w:spacing w:after="0"/>
              <w:rPr>
                <w:sz w:val="20"/>
                <w:szCs w:val="20"/>
                <w:color w:val="auto"/>
              </w:rPr>
            </w:pPr>
            <w:r>
              <w:rPr>
                <w:rFonts w:ascii="Arial" w:cs="Arial" w:eastAsia="Arial" w:hAnsi="Arial"/>
                <w:sz w:val="14"/>
                <w:szCs w:val="14"/>
                <w:b w:val="1"/>
                <w:bCs w:val="1"/>
                <w:color w:val="auto"/>
              </w:rPr>
              <w:t>IDENTITY OF ISSUE, BORROWER,</w:t>
            </w:r>
          </w:p>
        </w:tc>
        <w:tc>
          <w:tcPr>
            <w:tcW w:w="420" w:type="dxa"/>
            <w:vAlign w:val="bottom"/>
          </w:tcPr>
          <w:p>
            <w:pPr>
              <w:spacing w:after="0"/>
              <w:rPr>
                <w:sz w:val="14"/>
                <w:szCs w:val="14"/>
                <w:color w:val="auto"/>
              </w:rPr>
            </w:pPr>
          </w:p>
        </w:tc>
        <w:tc>
          <w:tcPr>
            <w:tcW w:w="2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COLLATERAL,</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CURRENT VALUE</w:t>
            </w:r>
          </w:p>
        </w:tc>
        <w:tc>
          <w:tcPr>
            <w:tcW w:w="0" w:type="dxa"/>
            <w:vAlign w:val="bottom"/>
          </w:tcPr>
          <w:p>
            <w:pPr>
              <w:spacing w:after="0"/>
              <w:rPr>
                <w:sz w:val="1"/>
                <w:szCs w:val="1"/>
                <w:color w:val="auto"/>
              </w:rPr>
            </w:pPr>
          </w:p>
        </w:tc>
      </w:tr>
      <w:tr>
        <w:trPr>
          <w:trHeight w:val="171"/>
        </w:trPr>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500" w:type="dxa"/>
            <w:vAlign w:val="bottom"/>
          </w:tcPr>
          <w:p>
            <w:pPr>
              <w:jc w:val="center"/>
              <w:spacing w:after="0"/>
              <w:rPr>
                <w:sz w:val="20"/>
                <w:szCs w:val="20"/>
                <w:color w:val="auto"/>
              </w:rPr>
            </w:pPr>
            <w:r>
              <w:rPr>
                <w:rFonts w:ascii="Arial" w:cs="Arial" w:eastAsia="Arial" w:hAnsi="Arial"/>
                <w:sz w:val="14"/>
                <w:szCs w:val="14"/>
                <w:b w:val="1"/>
                <w:bCs w:val="1"/>
                <w:color w:val="auto"/>
              </w:rPr>
              <w:t>LESSOR OR SIMILAR PARTY</w:t>
            </w:r>
          </w:p>
        </w:tc>
        <w:tc>
          <w:tcPr>
            <w:tcW w:w="420" w:type="dxa"/>
            <w:vAlign w:val="bottom"/>
          </w:tcPr>
          <w:p>
            <w:pPr>
              <w:spacing w:after="0"/>
              <w:rPr>
                <w:sz w:val="14"/>
                <w:szCs w:val="14"/>
                <w:color w:val="auto"/>
              </w:rPr>
            </w:pPr>
          </w:p>
        </w:tc>
        <w:tc>
          <w:tcPr>
            <w:tcW w:w="2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PAR OR MATURITY VALUE</w:t>
            </w:r>
          </w:p>
        </w:tc>
        <w:tc>
          <w:tcPr>
            <w:tcW w:w="200" w:type="dxa"/>
            <w:vAlign w:val="bottom"/>
          </w:tcPr>
          <w:p>
            <w:pPr>
              <w:spacing w:after="0"/>
              <w:rPr>
                <w:sz w:val="14"/>
                <w:szCs w:val="14"/>
                <w:color w:val="auto"/>
              </w:rPr>
            </w:pPr>
          </w:p>
        </w:tc>
        <w:tc>
          <w:tcPr>
            <w:tcW w:w="1040" w:type="dxa"/>
            <w:vAlign w:val="bottom"/>
          </w:tcPr>
          <w:p>
            <w:pPr>
              <w:jc w:val="right"/>
              <w:ind w:right="471"/>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0" w:type="dxa"/>
            <w:vAlign w:val="bottom"/>
            <w:tcBorders>
              <w:top w:val="single" w:sz="8" w:color="CFF0FC"/>
            </w:tcBorders>
            <w:shd w:val="clear" w:color="auto" w:fill="CFF0FC"/>
          </w:tcPr>
          <w:p>
            <w:pPr>
              <w:jc w:val="right"/>
              <w:ind w:right="293"/>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6500" w:type="dxa"/>
            <w:vAlign w:val="bottom"/>
            <w:tcBorders>
              <w:top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rPr>
              <w:t>Urban Outfitters, Inc</w:t>
            </w:r>
          </w:p>
        </w:tc>
        <w:tc>
          <w:tcPr>
            <w:tcW w:w="420" w:type="dxa"/>
            <w:vAlign w:val="bottom"/>
            <w:tcBorders>
              <w:top w:val="single" w:sz="8" w:color="CFF0FC"/>
            </w:tcBorders>
            <w:shd w:val="clear" w:color="auto" w:fill="CFF0FC"/>
          </w:tcPr>
          <w:p>
            <w:pPr>
              <w:spacing w:after="0"/>
              <w:rPr>
                <w:sz w:val="19"/>
                <w:szCs w:val="19"/>
                <w:color w:val="auto"/>
              </w:rPr>
            </w:pPr>
          </w:p>
        </w:tc>
        <w:tc>
          <w:tcPr>
            <w:tcW w:w="2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Common Stock Fund</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13,013,252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500" w:type="dxa"/>
            <w:vAlign w:val="bottom"/>
          </w:tcPr>
          <w:p>
            <w:pPr>
              <w:ind w:left="380"/>
              <w:spacing w:after="0"/>
              <w:rPr>
                <w:sz w:val="20"/>
                <w:szCs w:val="20"/>
                <w:color w:val="auto"/>
              </w:rPr>
            </w:pPr>
            <w:r>
              <w:rPr>
                <w:rFonts w:ascii="Arial" w:cs="Arial" w:eastAsia="Arial" w:hAnsi="Arial"/>
                <w:sz w:val="18"/>
                <w:szCs w:val="18"/>
                <w:color w:val="auto"/>
              </w:rPr>
              <w:t>Fidelity Cash Reserves Fund</w:t>
            </w:r>
          </w:p>
        </w:tc>
        <w:tc>
          <w:tcPr>
            <w:tcW w:w="2920" w:type="dxa"/>
            <w:vAlign w:val="bottom"/>
            <w:gridSpan w:val="3"/>
          </w:tcPr>
          <w:p>
            <w:pPr>
              <w:ind w:left="420"/>
              <w:spacing w:after="0"/>
              <w:rPr>
                <w:sz w:val="20"/>
                <w:szCs w:val="20"/>
                <w:color w:val="auto"/>
              </w:rPr>
            </w:pPr>
            <w:r>
              <w:rPr>
                <w:rFonts w:ascii="Arial" w:cs="Arial" w:eastAsia="Arial" w:hAnsi="Arial"/>
                <w:sz w:val="18"/>
                <w:szCs w:val="18"/>
                <w:color w:val="auto"/>
              </w:rPr>
              <w:t>Interest-Bearing Deposits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American Funds Euro Pacific Growth Fund</w:t>
            </w:r>
          </w:p>
        </w:tc>
        <w:tc>
          <w:tcPr>
            <w:tcW w:w="292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Mutual Fund</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6,898,795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500" w:type="dxa"/>
            <w:vAlign w:val="bottom"/>
          </w:tcPr>
          <w:p>
            <w:pPr>
              <w:ind w:left="380"/>
              <w:spacing w:after="0"/>
              <w:rPr>
                <w:sz w:val="20"/>
                <w:szCs w:val="20"/>
                <w:color w:val="auto"/>
              </w:rPr>
            </w:pPr>
            <w:r>
              <w:rPr>
                <w:rFonts w:ascii="Arial" w:cs="Arial" w:eastAsia="Arial" w:hAnsi="Arial"/>
                <w:sz w:val="18"/>
                <w:szCs w:val="18"/>
                <w:color w:val="auto"/>
              </w:rPr>
              <w:t>Dimensional Fund Advisors U.S. Small Cap Value Fund</w:t>
            </w:r>
          </w:p>
        </w:tc>
        <w:tc>
          <w:tcPr>
            <w:tcW w:w="2920" w:type="dxa"/>
            <w:vAlign w:val="bottom"/>
            <w:gridSpan w:val="3"/>
          </w:tcPr>
          <w:p>
            <w:pPr>
              <w:ind w:left="420"/>
              <w:spacing w:after="0"/>
              <w:rPr>
                <w:sz w:val="20"/>
                <w:szCs w:val="20"/>
                <w:color w:val="auto"/>
              </w:rPr>
            </w:pPr>
            <w:r>
              <w:rPr>
                <w:rFonts w:ascii="Arial" w:cs="Arial" w:eastAsia="Arial" w:hAnsi="Arial"/>
                <w:sz w:val="18"/>
                <w:szCs w:val="18"/>
                <w:color w:val="auto"/>
              </w:rPr>
              <w:t>Mutual Fund</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2,845,872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John Hancock Funds Disciplined Valued Mid Cap Fund</w:t>
            </w:r>
          </w:p>
        </w:tc>
        <w:tc>
          <w:tcPr>
            <w:tcW w:w="292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Mutual Fund</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2,989,315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500" w:type="dxa"/>
            <w:vAlign w:val="bottom"/>
          </w:tcPr>
          <w:p>
            <w:pPr>
              <w:ind w:left="380"/>
              <w:spacing w:after="0"/>
              <w:rPr>
                <w:sz w:val="20"/>
                <w:szCs w:val="20"/>
                <w:color w:val="auto"/>
              </w:rPr>
            </w:pPr>
            <w:r>
              <w:rPr>
                <w:rFonts w:ascii="Arial" w:cs="Arial" w:eastAsia="Arial" w:hAnsi="Arial"/>
                <w:sz w:val="18"/>
                <w:szCs w:val="18"/>
                <w:color w:val="auto"/>
              </w:rPr>
              <w:t>Metropolitan West Total Return Bond Fund</w:t>
            </w:r>
          </w:p>
        </w:tc>
        <w:tc>
          <w:tcPr>
            <w:tcW w:w="2920" w:type="dxa"/>
            <w:vAlign w:val="bottom"/>
            <w:gridSpan w:val="3"/>
          </w:tcPr>
          <w:p>
            <w:pPr>
              <w:ind w:left="420"/>
              <w:spacing w:after="0"/>
              <w:rPr>
                <w:sz w:val="20"/>
                <w:szCs w:val="20"/>
                <w:color w:val="auto"/>
              </w:rPr>
            </w:pPr>
            <w:r>
              <w:rPr>
                <w:rFonts w:ascii="Arial" w:cs="Arial" w:eastAsia="Arial" w:hAnsi="Arial"/>
                <w:sz w:val="18"/>
                <w:szCs w:val="18"/>
                <w:color w:val="auto"/>
              </w:rPr>
              <w:t>Mutual Fund</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1,689,597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shd w:val="clear" w:color="auto" w:fill="CFF0FC"/>
          </w:tcPr>
          <w:p>
            <w:pPr>
              <w:jc w:val="right"/>
              <w:ind w:right="29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Fidelity Spartan 500 Index Institutional Fund</w:t>
            </w:r>
          </w:p>
        </w:tc>
        <w:tc>
          <w:tcPr>
            <w:tcW w:w="292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Mutual Fund</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13,746,351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500" w:type="dxa"/>
            <w:vAlign w:val="bottom"/>
          </w:tcPr>
          <w:p>
            <w:pPr>
              <w:ind w:left="380"/>
              <w:spacing w:after="0"/>
              <w:rPr>
                <w:sz w:val="20"/>
                <w:szCs w:val="20"/>
                <w:color w:val="auto"/>
              </w:rPr>
            </w:pPr>
            <w:r>
              <w:rPr>
                <w:rFonts w:ascii="Arial" w:cs="Arial" w:eastAsia="Arial" w:hAnsi="Arial"/>
                <w:sz w:val="18"/>
                <w:szCs w:val="18"/>
                <w:color w:val="auto"/>
              </w:rPr>
              <w:t>Fidelity Spartan Extended Market Index Fund</w:t>
            </w:r>
          </w:p>
        </w:tc>
        <w:tc>
          <w:tcPr>
            <w:tcW w:w="2920" w:type="dxa"/>
            <w:vAlign w:val="bottom"/>
            <w:gridSpan w:val="3"/>
          </w:tcPr>
          <w:p>
            <w:pPr>
              <w:ind w:left="420"/>
              <w:spacing w:after="0"/>
              <w:rPr>
                <w:sz w:val="20"/>
                <w:szCs w:val="20"/>
                <w:color w:val="auto"/>
              </w:rPr>
            </w:pPr>
            <w:r>
              <w:rPr>
                <w:rFonts w:ascii="Arial" w:cs="Arial" w:eastAsia="Arial" w:hAnsi="Arial"/>
                <w:sz w:val="18"/>
                <w:szCs w:val="18"/>
                <w:color w:val="auto"/>
              </w:rPr>
              <w:t>Mutual Fund</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2,654,628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shd w:val="clear" w:color="auto" w:fill="CFF0FC"/>
          </w:tcPr>
          <w:p>
            <w:pPr>
              <w:jc w:val="right"/>
              <w:ind w:right="293"/>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6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Fidelity Spartan International Index Advantage Fund</w:t>
            </w:r>
          </w:p>
        </w:tc>
        <w:tc>
          <w:tcPr>
            <w:tcW w:w="292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Mutual Fund</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2,954,522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500" w:type="dxa"/>
            <w:vAlign w:val="bottom"/>
          </w:tcPr>
          <w:p>
            <w:pPr>
              <w:ind w:left="380"/>
              <w:spacing w:after="0"/>
              <w:rPr>
                <w:sz w:val="20"/>
                <w:szCs w:val="20"/>
                <w:color w:val="auto"/>
              </w:rPr>
            </w:pPr>
            <w:r>
              <w:rPr>
                <w:rFonts w:ascii="Arial" w:cs="Arial" w:eastAsia="Arial" w:hAnsi="Arial"/>
                <w:sz w:val="18"/>
                <w:szCs w:val="18"/>
                <w:color w:val="auto"/>
              </w:rPr>
              <w:t>T. Rowe Price Blue Chip Growth Fund</w:t>
            </w:r>
          </w:p>
        </w:tc>
        <w:tc>
          <w:tcPr>
            <w:tcW w:w="2920" w:type="dxa"/>
            <w:vAlign w:val="bottom"/>
            <w:gridSpan w:val="3"/>
          </w:tcPr>
          <w:p>
            <w:pPr>
              <w:ind w:left="420"/>
              <w:spacing w:after="0"/>
              <w:rPr>
                <w:sz w:val="20"/>
                <w:szCs w:val="20"/>
                <w:color w:val="auto"/>
              </w:rPr>
            </w:pPr>
            <w:r>
              <w:rPr>
                <w:rFonts w:ascii="Arial" w:cs="Arial" w:eastAsia="Arial" w:hAnsi="Arial"/>
                <w:sz w:val="18"/>
                <w:szCs w:val="18"/>
                <w:color w:val="auto"/>
              </w:rPr>
              <w:t>Mutual Fund</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21,008,120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 Rowe Price Equity Income Fund</w:t>
            </w:r>
          </w:p>
        </w:tc>
        <w:tc>
          <w:tcPr>
            <w:tcW w:w="292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Mutual Fund</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4,673,099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500" w:type="dxa"/>
            <w:vAlign w:val="bottom"/>
          </w:tcPr>
          <w:p>
            <w:pPr>
              <w:ind w:left="380"/>
              <w:spacing w:after="0"/>
              <w:rPr>
                <w:sz w:val="20"/>
                <w:szCs w:val="20"/>
                <w:color w:val="auto"/>
              </w:rPr>
            </w:pPr>
            <w:r>
              <w:rPr>
                <w:rFonts w:ascii="Arial" w:cs="Arial" w:eastAsia="Arial" w:hAnsi="Arial"/>
                <w:sz w:val="18"/>
                <w:szCs w:val="18"/>
                <w:color w:val="auto"/>
              </w:rPr>
              <w:t>Vanguard Inflational Protected Securities Fund</w:t>
            </w:r>
          </w:p>
        </w:tc>
        <w:tc>
          <w:tcPr>
            <w:tcW w:w="2920" w:type="dxa"/>
            <w:vAlign w:val="bottom"/>
            <w:gridSpan w:val="3"/>
          </w:tcPr>
          <w:p>
            <w:pPr>
              <w:ind w:left="420"/>
              <w:spacing w:after="0"/>
              <w:rPr>
                <w:sz w:val="20"/>
                <w:szCs w:val="20"/>
                <w:color w:val="auto"/>
              </w:rPr>
            </w:pPr>
            <w:r>
              <w:rPr>
                <w:rFonts w:ascii="Arial" w:cs="Arial" w:eastAsia="Arial" w:hAnsi="Arial"/>
                <w:sz w:val="18"/>
                <w:szCs w:val="18"/>
                <w:color w:val="auto"/>
              </w:rPr>
              <w:t>Mutual Fund</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Vanguard REIT Index Fund</w:t>
            </w:r>
          </w:p>
        </w:tc>
        <w:tc>
          <w:tcPr>
            <w:tcW w:w="292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Mutual Fund</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762,173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500" w:type="dxa"/>
            <w:vAlign w:val="bottom"/>
          </w:tcPr>
          <w:p>
            <w:pPr>
              <w:ind w:left="380"/>
              <w:spacing w:after="0"/>
              <w:rPr>
                <w:sz w:val="20"/>
                <w:szCs w:val="20"/>
                <w:color w:val="auto"/>
              </w:rPr>
            </w:pPr>
            <w:r>
              <w:rPr>
                <w:rFonts w:ascii="Arial" w:cs="Arial" w:eastAsia="Arial" w:hAnsi="Arial"/>
                <w:sz w:val="18"/>
                <w:szCs w:val="18"/>
                <w:color w:val="auto"/>
              </w:rPr>
              <w:t>Vanguard Small Cap Growth Index Fund</w:t>
            </w:r>
          </w:p>
        </w:tc>
        <w:tc>
          <w:tcPr>
            <w:tcW w:w="2920" w:type="dxa"/>
            <w:vAlign w:val="bottom"/>
            <w:gridSpan w:val="3"/>
          </w:tcPr>
          <w:p>
            <w:pPr>
              <w:ind w:left="420"/>
              <w:spacing w:after="0"/>
              <w:rPr>
                <w:sz w:val="20"/>
                <w:szCs w:val="20"/>
                <w:color w:val="auto"/>
              </w:rPr>
            </w:pPr>
            <w:r>
              <w:rPr>
                <w:rFonts w:ascii="Arial" w:cs="Arial" w:eastAsia="Arial" w:hAnsi="Arial"/>
                <w:sz w:val="18"/>
                <w:szCs w:val="18"/>
                <w:color w:val="auto"/>
              </w:rPr>
              <w:t>Mutual Fund</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4,428,352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Vanguard Target Retirement Fund 2015</w:t>
            </w:r>
          </w:p>
        </w:tc>
        <w:tc>
          <w:tcPr>
            <w:tcW w:w="292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Mutual Fund</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179,611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500" w:type="dxa"/>
            <w:vAlign w:val="bottom"/>
          </w:tcPr>
          <w:p>
            <w:pPr>
              <w:ind w:left="380"/>
              <w:spacing w:after="0"/>
              <w:rPr>
                <w:sz w:val="20"/>
                <w:szCs w:val="20"/>
                <w:color w:val="auto"/>
              </w:rPr>
            </w:pPr>
            <w:r>
              <w:rPr>
                <w:rFonts w:ascii="Arial" w:cs="Arial" w:eastAsia="Arial" w:hAnsi="Arial"/>
                <w:sz w:val="18"/>
                <w:szCs w:val="18"/>
                <w:color w:val="auto"/>
              </w:rPr>
              <w:t>Vanguard Target Retirement Fund 2020</w:t>
            </w:r>
          </w:p>
        </w:tc>
        <w:tc>
          <w:tcPr>
            <w:tcW w:w="2920" w:type="dxa"/>
            <w:vAlign w:val="bottom"/>
            <w:gridSpan w:val="3"/>
          </w:tcPr>
          <w:p>
            <w:pPr>
              <w:ind w:left="420"/>
              <w:spacing w:after="0"/>
              <w:rPr>
                <w:sz w:val="20"/>
                <w:szCs w:val="20"/>
                <w:color w:val="auto"/>
              </w:rPr>
            </w:pPr>
            <w:r>
              <w:rPr>
                <w:rFonts w:ascii="Arial" w:cs="Arial" w:eastAsia="Arial" w:hAnsi="Arial"/>
                <w:sz w:val="18"/>
                <w:szCs w:val="18"/>
                <w:color w:val="auto"/>
              </w:rPr>
              <w:t>Mutual Fund</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1,813,485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Vanguard Target Retirement Fund 2025</w:t>
            </w:r>
          </w:p>
        </w:tc>
        <w:tc>
          <w:tcPr>
            <w:tcW w:w="292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Mutual Fund</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377,416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500" w:type="dxa"/>
            <w:vAlign w:val="bottom"/>
          </w:tcPr>
          <w:p>
            <w:pPr>
              <w:ind w:left="380"/>
              <w:spacing w:after="0"/>
              <w:rPr>
                <w:sz w:val="20"/>
                <w:szCs w:val="20"/>
                <w:color w:val="auto"/>
              </w:rPr>
            </w:pPr>
            <w:r>
              <w:rPr>
                <w:rFonts w:ascii="Arial" w:cs="Arial" w:eastAsia="Arial" w:hAnsi="Arial"/>
                <w:sz w:val="18"/>
                <w:szCs w:val="18"/>
                <w:color w:val="auto"/>
              </w:rPr>
              <w:t>Vanguard Target Retirement Fund 2030</w:t>
            </w:r>
          </w:p>
        </w:tc>
        <w:tc>
          <w:tcPr>
            <w:tcW w:w="2920" w:type="dxa"/>
            <w:vAlign w:val="bottom"/>
            <w:gridSpan w:val="3"/>
          </w:tcPr>
          <w:p>
            <w:pPr>
              <w:ind w:left="420"/>
              <w:spacing w:after="0"/>
              <w:rPr>
                <w:sz w:val="20"/>
                <w:szCs w:val="20"/>
                <w:color w:val="auto"/>
              </w:rPr>
            </w:pPr>
            <w:r>
              <w:rPr>
                <w:rFonts w:ascii="Arial" w:cs="Arial" w:eastAsia="Arial" w:hAnsi="Arial"/>
                <w:sz w:val="18"/>
                <w:szCs w:val="18"/>
                <w:color w:val="auto"/>
              </w:rPr>
              <w:t>Mutual Fund</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4,673,352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Vanguard Target Retirement Fund 2035</w:t>
            </w:r>
          </w:p>
        </w:tc>
        <w:tc>
          <w:tcPr>
            <w:tcW w:w="292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Mutual Fund</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2,358,674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500" w:type="dxa"/>
            <w:vAlign w:val="bottom"/>
          </w:tcPr>
          <w:p>
            <w:pPr>
              <w:ind w:left="380"/>
              <w:spacing w:after="0"/>
              <w:rPr>
                <w:sz w:val="20"/>
                <w:szCs w:val="20"/>
                <w:color w:val="auto"/>
              </w:rPr>
            </w:pPr>
            <w:r>
              <w:rPr>
                <w:rFonts w:ascii="Arial" w:cs="Arial" w:eastAsia="Arial" w:hAnsi="Arial"/>
                <w:sz w:val="18"/>
                <w:szCs w:val="18"/>
                <w:color w:val="auto"/>
              </w:rPr>
              <w:t>Vanguard Target Retirement Fund 2040</w:t>
            </w:r>
          </w:p>
        </w:tc>
        <w:tc>
          <w:tcPr>
            <w:tcW w:w="2920" w:type="dxa"/>
            <w:vAlign w:val="bottom"/>
            <w:gridSpan w:val="3"/>
          </w:tcPr>
          <w:p>
            <w:pPr>
              <w:ind w:left="420"/>
              <w:spacing w:after="0"/>
              <w:rPr>
                <w:sz w:val="20"/>
                <w:szCs w:val="20"/>
                <w:color w:val="auto"/>
              </w:rPr>
            </w:pPr>
            <w:r>
              <w:rPr>
                <w:rFonts w:ascii="Arial" w:cs="Arial" w:eastAsia="Arial" w:hAnsi="Arial"/>
                <w:sz w:val="18"/>
                <w:szCs w:val="18"/>
                <w:color w:val="auto"/>
              </w:rPr>
              <w:t>Mutual Fund</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12,084,142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Vanguard Target Retirement Fund 2045</w:t>
            </w:r>
          </w:p>
        </w:tc>
        <w:tc>
          <w:tcPr>
            <w:tcW w:w="292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Mutual Fund</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4,883,743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500" w:type="dxa"/>
            <w:vAlign w:val="bottom"/>
          </w:tcPr>
          <w:p>
            <w:pPr>
              <w:ind w:left="380"/>
              <w:spacing w:after="0"/>
              <w:rPr>
                <w:sz w:val="20"/>
                <w:szCs w:val="20"/>
                <w:color w:val="auto"/>
              </w:rPr>
            </w:pPr>
            <w:r>
              <w:rPr>
                <w:rFonts w:ascii="Arial" w:cs="Arial" w:eastAsia="Arial" w:hAnsi="Arial"/>
                <w:sz w:val="18"/>
                <w:szCs w:val="18"/>
                <w:color w:val="auto"/>
              </w:rPr>
              <w:t>Vanguard Target Retirement Fund 2050</w:t>
            </w:r>
          </w:p>
        </w:tc>
        <w:tc>
          <w:tcPr>
            <w:tcW w:w="2920" w:type="dxa"/>
            <w:vAlign w:val="bottom"/>
            <w:gridSpan w:val="3"/>
          </w:tcPr>
          <w:p>
            <w:pPr>
              <w:ind w:left="420"/>
              <w:spacing w:after="0"/>
              <w:rPr>
                <w:sz w:val="20"/>
                <w:szCs w:val="20"/>
                <w:color w:val="auto"/>
              </w:rPr>
            </w:pPr>
            <w:r>
              <w:rPr>
                <w:rFonts w:ascii="Arial" w:cs="Arial" w:eastAsia="Arial" w:hAnsi="Arial"/>
                <w:sz w:val="18"/>
                <w:szCs w:val="18"/>
                <w:color w:val="auto"/>
              </w:rPr>
              <w:t>Mutual Fund</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20,503,643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Vanguard Target Retirement Fund 2055</w:t>
            </w:r>
          </w:p>
        </w:tc>
        <w:tc>
          <w:tcPr>
            <w:tcW w:w="292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Mutual Fund</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6,910,793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500" w:type="dxa"/>
            <w:vAlign w:val="bottom"/>
          </w:tcPr>
          <w:p>
            <w:pPr>
              <w:ind w:left="380"/>
              <w:spacing w:after="0"/>
              <w:rPr>
                <w:sz w:val="20"/>
                <w:szCs w:val="20"/>
                <w:color w:val="auto"/>
              </w:rPr>
            </w:pPr>
            <w:r>
              <w:rPr>
                <w:rFonts w:ascii="Arial" w:cs="Arial" w:eastAsia="Arial" w:hAnsi="Arial"/>
                <w:sz w:val="18"/>
                <w:szCs w:val="18"/>
                <w:color w:val="auto"/>
              </w:rPr>
              <w:t>Vanguard Target Retirement Fund 2060</w:t>
            </w:r>
          </w:p>
        </w:tc>
        <w:tc>
          <w:tcPr>
            <w:tcW w:w="2920" w:type="dxa"/>
            <w:vAlign w:val="bottom"/>
            <w:gridSpan w:val="3"/>
          </w:tcPr>
          <w:p>
            <w:pPr>
              <w:ind w:left="420"/>
              <w:spacing w:after="0"/>
              <w:rPr>
                <w:sz w:val="20"/>
                <w:szCs w:val="20"/>
                <w:color w:val="auto"/>
              </w:rPr>
            </w:pPr>
            <w:r>
              <w:rPr>
                <w:rFonts w:ascii="Arial" w:cs="Arial" w:eastAsia="Arial" w:hAnsi="Arial"/>
                <w:sz w:val="18"/>
                <w:szCs w:val="18"/>
                <w:color w:val="auto"/>
              </w:rPr>
              <w:t>Mutual Fund</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1,748,565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Vanguard Target Retirement Income Fund</w:t>
            </w:r>
          </w:p>
        </w:tc>
        <w:tc>
          <w:tcPr>
            <w:tcW w:w="292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Mutual Fund</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1,761,813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500" w:type="dxa"/>
            <w:vAlign w:val="bottom"/>
          </w:tcPr>
          <w:p>
            <w:pPr>
              <w:ind w:left="380"/>
              <w:spacing w:after="0"/>
              <w:rPr>
                <w:sz w:val="20"/>
                <w:szCs w:val="20"/>
                <w:color w:val="auto"/>
              </w:rPr>
            </w:pPr>
            <w:r>
              <w:rPr>
                <w:rFonts w:ascii="Arial" w:cs="Arial" w:eastAsia="Arial" w:hAnsi="Arial"/>
                <w:sz w:val="18"/>
                <w:szCs w:val="18"/>
                <w:color w:val="auto"/>
              </w:rPr>
              <w:t>Vanguard Total Bond Market Fund</w:t>
            </w:r>
          </w:p>
        </w:tc>
        <w:tc>
          <w:tcPr>
            <w:tcW w:w="2920" w:type="dxa"/>
            <w:vAlign w:val="bottom"/>
            <w:gridSpan w:val="3"/>
          </w:tcPr>
          <w:p>
            <w:pPr>
              <w:ind w:left="420"/>
              <w:spacing w:after="0"/>
              <w:rPr>
                <w:sz w:val="20"/>
                <w:szCs w:val="20"/>
                <w:color w:val="auto"/>
              </w:rPr>
            </w:pPr>
            <w:r>
              <w:rPr>
                <w:rFonts w:ascii="Arial" w:cs="Arial" w:eastAsia="Arial" w:hAnsi="Arial"/>
                <w:sz w:val="18"/>
                <w:szCs w:val="18"/>
                <w:color w:val="auto"/>
              </w:rPr>
              <w:t>Mutual Fund</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4,459,339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5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William Blair Mid Cap Growth Fund</w:t>
            </w:r>
          </w:p>
        </w:tc>
        <w:tc>
          <w:tcPr>
            <w:tcW w:w="292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Mutual Fund</w:t>
            </w: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2,314,306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141,851,876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500" w:type="dxa"/>
            <w:vAlign w:val="bottom"/>
            <w:vMerge w:val="restart"/>
            <w:shd w:val="clear" w:color="auto" w:fill="CFF0FC"/>
          </w:tcPr>
          <w:p>
            <w:pPr>
              <w:ind w:left="380"/>
              <w:spacing w:after="0"/>
              <w:rPr>
                <w:sz w:val="20"/>
                <w:szCs w:val="20"/>
                <w:color w:val="auto"/>
              </w:rPr>
            </w:pPr>
            <w:r>
              <w:rPr>
                <w:rFonts w:ascii="Arial" w:cs="Arial" w:eastAsia="Arial" w:hAnsi="Arial"/>
                <w:sz w:val="18"/>
                <w:szCs w:val="18"/>
                <w:color w:val="auto"/>
              </w:rPr>
              <w:t>Prudential Guaranteed Income Fund</w:t>
            </w:r>
          </w:p>
        </w:tc>
        <w:tc>
          <w:tcPr>
            <w:tcW w:w="292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Guaranteed Investment</w:t>
            </w:r>
          </w:p>
        </w:tc>
        <w:tc>
          <w:tcPr>
            <w:tcW w:w="20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10,281,653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500" w:type="dxa"/>
            <w:vAlign w:val="bottom"/>
            <w:vMerge w:val="continue"/>
            <w:shd w:val="clear" w:color="auto" w:fill="CFF0FC"/>
          </w:tcPr>
          <w:p>
            <w:pPr>
              <w:spacing w:after="0"/>
              <w:rPr>
                <w:sz w:val="10"/>
                <w:szCs w:val="10"/>
                <w:color w:val="auto"/>
              </w:rPr>
            </w:pPr>
          </w:p>
        </w:tc>
        <w:tc>
          <w:tcPr>
            <w:tcW w:w="2920" w:type="dxa"/>
            <w:vAlign w:val="bottom"/>
            <w:gridSpan w:val="3"/>
            <w:vMerge w:val="restart"/>
            <w:shd w:val="clear" w:color="auto" w:fill="CFF0FC"/>
          </w:tcPr>
          <w:p>
            <w:pPr>
              <w:ind w:left="420"/>
              <w:spacing w:after="0"/>
              <w:rPr>
                <w:sz w:val="20"/>
                <w:szCs w:val="20"/>
                <w:color w:val="auto"/>
              </w:rPr>
            </w:pPr>
            <w:r>
              <w:rPr>
                <w:rFonts w:ascii="Arial" w:cs="Arial" w:eastAsia="Arial" w:hAnsi="Arial"/>
                <w:sz w:val="18"/>
                <w:szCs w:val="18"/>
                <w:color w:val="auto"/>
              </w:rPr>
              <w:t>Contract</w:t>
            </w:r>
          </w:p>
        </w:tc>
        <w:tc>
          <w:tcPr>
            <w:tcW w:w="200" w:type="dxa"/>
            <w:vAlign w:val="bottom"/>
            <w:shd w:val="clear" w:color="auto" w:fill="CFF0FC"/>
          </w:tcPr>
          <w:p>
            <w:pPr>
              <w:spacing w:after="0"/>
              <w:rPr>
                <w:sz w:val="10"/>
                <w:szCs w:val="10"/>
                <w:color w:val="auto"/>
              </w:rPr>
            </w:pPr>
          </w:p>
        </w:tc>
        <w:tc>
          <w:tcPr>
            <w:tcW w:w="104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500" w:type="dxa"/>
            <w:vAlign w:val="bottom"/>
            <w:shd w:val="clear" w:color="auto" w:fill="CFF0FC"/>
          </w:tcPr>
          <w:p>
            <w:pPr>
              <w:spacing w:after="0"/>
              <w:rPr>
                <w:sz w:val="9"/>
                <w:szCs w:val="9"/>
                <w:color w:val="auto"/>
              </w:rPr>
            </w:pPr>
          </w:p>
        </w:tc>
        <w:tc>
          <w:tcPr>
            <w:tcW w:w="2920" w:type="dxa"/>
            <w:vAlign w:val="bottom"/>
            <w:gridSpan w:val="3"/>
            <w:vMerge w:val="continue"/>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8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500" w:type="dxa"/>
            <w:vAlign w:val="bottom"/>
          </w:tcPr>
          <w:p>
            <w:pPr>
              <w:ind w:left="380"/>
              <w:spacing w:after="0"/>
              <w:rPr>
                <w:sz w:val="20"/>
                <w:szCs w:val="20"/>
                <w:color w:val="auto"/>
              </w:rPr>
            </w:pPr>
            <w:r>
              <w:rPr>
                <w:rFonts w:ascii="Arial" w:cs="Arial" w:eastAsia="Arial" w:hAnsi="Arial"/>
                <w:sz w:val="18"/>
                <w:szCs w:val="18"/>
                <w:color w:val="auto"/>
              </w:rPr>
              <w:t>Notes Receivable from Participants</w:t>
            </w:r>
          </w:p>
        </w:tc>
        <w:tc>
          <w:tcPr>
            <w:tcW w:w="2920" w:type="dxa"/>
            <w:vAlign w:val="bottom"/>
            <w:gridSpan w:val="3"/>
          </w:tcPr>
          <w:p>
            <w:pPr>
              <w:ind w:left="420"/>
              <w:spacing w:after="0"/>
              <w:rPr>
                <w:sz w:val="20"/>
                <w:szCs w:val="20"/>
                <w:color w:val="auto"/>
              </w:rPr>
            </w:pPr>
            <w:r>
              <w:rPr>
                <w:rFonts w:ascii="Arial" w:cs="Arial" w:eastAsia="Arial" w:hAnsi="Arial"/>
                <w:sz w:val="18"/>
                <w:szCs w:val="18"/>
                <w:color w:val="auto"/>
              </w:rPr>
              <w:t>Prime +1% with interest rates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920" w:type="dxa"/>
            <w:vAlign w:val="bottom"/>
            <w:gridSpan w:val="3"/>
          </w:tcPr>
          <w:p>
            <w:pPr>
              <w:ind w:left="420"/>
              <w:spacing w:after="0"/>
              <w:rPr>
                <w:sz w:val="20"/>
                <w:szCs w:val="20"/>
                <w:color w:val="auto"/>
              </w:rPr>
            </w:pPr>
            <w:r>
              <w:rPr>
                <w:rFonts w:ascii="Arial" w:cs="Arial" w:eastAsia="Arial" w:hAnsi="Arial"/>
                <w:sz w:val="18"/>
                <w:szCs w:val="18"/>
                <w:color w:val="auto"/>
              </w:rPr>
              <w:t>ranging from 4.25% to 9.25%;</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2920" w:type="dxa"/>
            <w:vAlign w:val="bottom"/>
            <w:gridSpan w:val="3"/>
          </w:tcPr>
          <w:p>
            <w:pPr>
              <w:ind w:left="420"/>
              <w:spacing w:after="0"/>
              <w:rPr>
                <w:sz w:val="20"/>
                <w:szCs w:val="20"/>
                <w:color w:val="auto"/>
              </w:rPr>
            </w:pPr>
            <w:r>
              <w:rPr>
                <w:rFonts w:ascii="Arial" w:cs="Arial" w:eastAsia="Arial" w:hAnsi="Arial"/>
                <w:sz w:val="18"/>
                <w:szCs w:val="18"/>
                <w:color w:val="auto"/>
                <w:w w:val="98"/>
              </w:rPr>
              <w:t>various maturities through June</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bottom w:val="single" w:sz="8" w:color="CFF0FC"/>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6500" w:type="dxa"/>
            <w:vAlign w:val="bottom"/>
            <w:tcBorders>
              <w:bottom w:val="single" w:sz="8" w:color="CFF0FC"/>
            </w:tcBorders>
          </w:tcPr>
          <w:p>
            <w:pPr>
              <w:spacing w:after="0"/>
              <w:rPr>
                <w:sz w:val="20"/>
                <w:szCs w:val="20"/>
                <w:color w:val="auto"/>
              </w:rPr>
            </w:pPr>
          </w:p>
        </w:tc>
        <w:tc>
          <w:tcPr>
            <w:tcW w:w="2740" w:type="dxa"/>
            <w:vAlign w:val="bottom"/>
            <w:tcBorders>
              <w:bottom w:val="single" w:sz="8" w:color="CFF0FC"/>
            </w:tcBorders>
            <w:gridSpan w:val="2"/>
          </w:tcPr>
          <w:p>
            <w:pPr>
              <w:ind w:left="420"/>
              <w:spacing w:after="0"/>
              <w:rPr>
                <w:sz w:val="20"/>
                <w:szCs w:val="20"/>
                <w:color w:val="auto"/>
              </w:rPr>
            </w:pPr>
            <w:r>
              <w:rPr>
                <w:rFonts w:ascii="Arial" w:cs="Arial" w:eastAsia="Arial" w:hAnsi="Arial"/>
                <w:sz w:val="18"/>
                <w:szCs w:val="18"/>
                <w:color w:val="auto"/>
              </w:rPr>
              <w:t>2031</w:t>
            </w:r>
          </w:p>
        </w:tc>
        <w:tc>
          <w:tcPr>
            <w:tcW w:w="1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2,182,444</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5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2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154,315,973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Party-in-interest as defined by ERISA</w:t>
      </w:r>
    </w:p>
    <w:p>
      <w:pPr>
        <w:spacing w:after="0" w:line="23" w:lineRule="exact"/>
        <w:rPr>
          <w:sz w:val="20"/>
          <w:szCs w:val="20"/>
          <w:color w:val="auto"/>
        </w:rPr>
      </w:pPr>
    </w:p>
    <w:p>
      <w:pPr>
        <w:ind w:left="5620" w:right="3840" w:hanging="5612"/>
        <w:spacing w:after="0" w:line="777" w:lineRule="auto"/>
        <w:tabs>
          <w:tab w:leader="none" w:pos="517"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information is not required for participant directed investments and therefore, is not included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-236855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1" w:name="page12"/>
    <w:bookmarkEnd w:id="11"/>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administer(s)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Urban Outfitters, Inc. 401(k) Savings Plan</w:t>
      </w:r>
    </w:p>
    <w:p>
      <w:pPr>
        <w:spacing w:after="0" w:line="225" w:lineRule="exact"/>
        <w:rPr>
          <w:sz w:val="20"/>
          <w:szCs w:val="20"/>
          <w:color w:val="auto"/>
        </w:rPr>
      </w:pPr>
    </w:p>
    <w:p>
      <w:pPr>
        <w:spacing w:after="0"/>
        <w:tabs>
          <w:tab w:leader="none" w:pos="5260" w:val="left"/>
          <w:tab w:leader="none" w:pos="7700" w:val="left"/>
          <w:tab w:leader="none" w:pos="8040" w:val="left"/>
        </w:tabs>
        <w:rPr>
          <w:sz w:val="20"/>
          <w:szCs w:val="20"/>
          <w:color w:val="auto"/>
        </w:rPr>
      </w:pPr>
      <w:r>
        <w:rPr>
          <w:rFonts w:ascii="Arial" w:cs="Arial" w:eastAsia="Arial" w:hAnsi="Arial"/>
          <w:sz w:val="18"/>
          <w:szCs w:val="18"/>
          <w:color w:val="auto"/>
        </w:rPr>
        <w:t>Date: June 25,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F</w:t>
      </w:r>
      <w:r>
        <w:rPr>
          <w:rFonts w:ascii="Arial" w:cs="Arial" w:eastAsia="Arial" w:hAnsi="Arial"/>
          <w:sz w:val="13"/>
          <w:szCs w:val="13"/>
          <w:color w:val="auto"/>
        </w:rPr>
        <w:t>RANCIS</w:t>
      </w:r>
      <w:r>
        <w:rPr>
          <w:rFonts w:ascii="Arial" w:cs="Arial" w:eastAsia="Arial" w:hAnsi="Arial"/>
          <w:sz w:val="17"/>
          <w:szCs w:val="17"/>
          <w:color w:val="auto"/>
        </w:rPr>
        <w:t xml:space="preserve"> J. C</w:t>
      </w:r>
      <w:r>
        <w:rPr>
          <w:rFonts w:ascii="Arial" w:cs="Arial" w:eastAsia="Arial" w:hAnsi="Arial"/>
          <w:sz w:val="13"/>
          <w:szCs w:val="13"/>
          <w:color w:val="auto"/>
        </w:rPr>
        <w:t>ONFORTI</w:t>
      </w:r>
    </w:p>
    <w:p>
      <w:pPr>
        <w:spacing w:after="0" w:line="18" w:lineRule="exact"/>
        <w:rPr>
          <w:sz w:val="20"/>
          <w:szCs w:val="20"/>
          <w:color w:val="auto"/>
        </w:rPr>
      </w:pPr>
    </w:p>
    <w:p>
      <w:pPr>
        <w:ind w:left="8240"/>
        <w:spacing w:after="0"/>
        <w:rPr>
          <w:sz w:val="20"/>
          <w:szCs w:val="20"/>
          <w:color w:val="auto"/>
        </w:rPr>
      </w:pPr>
      <w:r>
        <w:rPr>
          <w:rFonts w:ascii="Arial" w:cs="Arial" w:eastAsia="Arial" w:hAnsi="Arial"/>
          <w:sz w:val="14"/>
          <w:szCs w:val="14"/>
          <w:b w:val="1"/>
          <w:bCs w:val="1"/>
          <w:color w:val="auto"/>
        </w:rPr>
        <w:t>Francis J. Conforti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-97790</wp:posOffset>
            </wp:positionV>
            <wp:extent cx="3302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ind w:left="8220"/>
        <w:spacing w:after="0"/>
        <w:rPr>
          <w:sz w:val="20"/>
          <w:szCs w:val="20"/>
          <w:color w:val="auto"/>
        </w:rPr>
      </w:pPr>
      <w:r>
        <w:rPr>
          <w:rFonts w:ascii="Arial" w:cs="Arial" w:eastAsia="Arial" w:hAnsi="Arial"/>
          <w:sz w:val="14"/>
          <w:szCs w:val="14"/>
          <w:b w:val="1"/>
          <w:bCs w:val="1"/>
          <w:color w:val="auto"/>
        </w:rPr>
        <w:t>Plan Administrator</w:t>
      </w: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51" w:right="359" w:bottom="1440" w:gutter="0" w:footer="0" w:header="0"/>
        </w:sectPr>
      </w:pPr>
    </w:p>
    <w:bookmarkStart w:id="12" w:name="page13"/>
    <w:bookmarkEnd w:id="12"/>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6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40"/>
        <w:spacing w:after="0"/>
        <w:tabs>
          <w:tab w:leader="none" w:pos="8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61747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136" w:lineRule="exact"/>
        <w:rPr>
          <w:sz w:val="20"/>
          <w:szCs w:val="20"/>
          <w:color w:val="auto"/>
        </w:rPr>
      </w:pPr>
    </w:p>
    <w:p>
      <w:pPr>
        <w:ind w:left="140"/>
        <w:spacing w:after="0"/>
        <w:tabs>
          <w:tab w:leader="none" w:pos="8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BDO USA, LLP</w:t>
      </w:r>
    </w:p>
    <w:p>
      <w:pPr>
        <w:spacing w:after="0" w:line="117"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0219"/>
          </w:cols>
          <w:pgMar w:left="240" w:top="351" w:right="1440"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Urban Outfitters, Inc. 401(k) Savings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333-33603, No. 333-38648, No. 333-84333, No. 333-119878, No. 333-153149, No. 333-183902 and No. 333-219285) of Urban Outfitters, Inc. of our report dated June 25, 2018, relating to the financial statements and supplemental schedule of the Urban Outfitters, Inc. 401(k) Savings Plan which appear in this Form 11-K for the year ended December 31, 2017.</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25, 2018</w:t>
      </w:r>
    </w:p>
    <w:sectPr>
      <w:pgSz w:w="11900" w:h="16838" w:orient="portrait"/>
      <w:cols w:equalWidth="0" w:num="1">
        <w:col w:w="11420"/>
      </w:cols>
      <w:pgMar w:left="240" w:top="1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upperLetter"/>
      <w:start w:val="1"/>
    </w:lvl>
  </w:abstractNum>
  <w:abstractNum w:abstractNumId="3">
    <w:nsid w:val="2EB141F2"/>
    <w:multiLevelType w:val="hybridMultilevel"/>
    <w:lvl w:ilvl="0">
      <w:lvlJc w:val="left"/>
      <w:lvlText w:val="%1."/>
      <w:numFmt w:val="decimal"/>
      <w:start w:val="18"/>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2019-12-06T01:53:34Z</dcterms:created>
  <dcterms:modified xsi:type="dcterms:W3CDTF">2019-12-06T01:53:34Z</dcterms:modified>
</cp:coreProperties>
</file>