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urbn-20260430.htm"/>
      <w:bookmarkStart w:id="1" w:name="ksurbn20260430"/>
      <w:bookmarkEnd w:id="0"/>
      <w:bookmarkEnd w:id="1"/>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0"/>
        </w:rPr>
        <w:t>FORM 10-Q</w:t>
      </w:r>
      <w:r>
        <w:rPr>
          <w:rFonts w:ascii="Times New Roman" w:hAnsi="Times New Roman"/>
          <w:color w:val="000000"/>
          <w:sz w:val="20"/>
        </w:rPr>
        <w:t xml:space="preserve"> </w:t>
      </w:r>
    </w:p>
    <w:p>
      <w:pPr>
        <w:pStyle w:val="TextBody"/>
        <w:bidi w:val="0"/>
        <w:spacing w:before="80" w:after="283"/>
        <w:jc w:val="both"/>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 April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No. 000-22754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0"/>
        </w:rPr>
        <w:t>Urban Outfitters,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877" w:type="dxa"/>
        <w:jc w:val="left"/>
        <w:tblInd w:w="0" w:type="dxa"/>
        <w:tblLayout w:type="fixed"/>
        <w:tblCellMar>
          <w:top w:w="28" w:type="dxa"/>
          <w:left w:w="28" w:type="dxa"/>
          <w:bottom w:w="28" w:type="dxa"/>
          <w:right w:w="28" w:type="dxa"/>
        </w:tblCellMar>
      </w:tblPr>
      <w:tblGrid>
        <w:gridCol w:w="3391"/>
        <w:gridCol w:w="1486"/>
      </w:tblGrid>
      <w:tr>
        <w:trPr/>
        <w:tc>
          <w:tcPr>
            <w:tcW w:w="33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Pennsylvania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23-2003332</w:t>
            </w:r>
          </w:p>
        </w:tc>
      </w:tr>
      <w:tr>
        <w:trPr/>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5000 South Broad Street, Philadelphia, PA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19112-1495</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(215) 454-5500</w:t>
      </w:r>
      <w:r>
        <w:rPr>
          <w:rFonts w:ascii="Times New Roman" w:hAnsi="Times New Roman"/>
          <w:color w:val="000000"/>
          <w:sz w:val="20"/>
        </w:rPr>
        <w:t xml:space="preserve"> </w:t>
      </w:r>
    </w:p>
    <w:p>
      <w:pPr>
        <w:pStyle w:val="TextBody"/>
        <w:bidi w:val="0"/>
        <w:spacing w:before="80" w:after="8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335" w:type="dxa"/>
        <w:jc w:val="left"/>
        <w:tblInd w:w="0" w:type="dxa"/>
        <w:tblLayout w:type="fixed"/>
        <w:tblCellMar>
          <w:top w:w="28" w:type="dxa"/>
          <w:left w:w="28" w:type="dxa"/>
          <w:bottom w:w="28" w:type="dxa"/>
          <w:right w:w="28" w:type="dxa"/>
        </w:tblCellMar>
      </w:tblPr>
      <w:tblGrid>
        <w:gridCol w:w="3271"/>
        <w:gridCol w:w="146"/>
        <w:gridCol w:w="1456"/>
        <w:gridCol w:w="146"/>
        <w:gridCol w:w="3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pPr>
            <w:r>
              <w:rPr/>
              <w:t> </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7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par value $.0001 per share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URBN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w:t>
      </w:r>
      <w:r>
        <w:rPr>
          <w:rFonts w:ascii="Times New Roman" w:hAnsi="Times New Roman"/>
          <w:color w:val="000000"/>
          <w:sz w:val="20"/>
        </w:rPr>
        <w:t xml:space="preserve"> ☐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w:t>
      </w:r>
      <w:r>
        <w:rPr>
          <w:rFonts w:ascii="Times New Roman" w:hAnsi="Times New Roman"/>
          <w:color w:val="000000"/>
          <w:sz w:val="20"/>
        </w:rPr>
        <w:t xml:space="preserve"> ☐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963" w:type="dxa"/>
        <w:jc w:val="left"/>
        <w:tblInd w:w="0" w:type="dxa"/>
        <w:tblLayout w:type="fixed"/>
        <w:tblCellMar>
          <w:top w:w="28" w:type="dxa"/>
          <w:left w:w="28" w:type="dxa"/>
          <w:bottom w:w="28" w:type="dxa"/>
          <w:right w:w="28" w:type="dxa"/>
        </w:tblCellMar>
      </w:tblPr>
      <w:tblGrid>
        <w:gridCol w:w="1906"/>
        <w:gridCol w:w="1175"/>
        <w:gridCol w:w="2281"/>
        <w:gridCol w:w="601"/>
      </w:tblGrid>
      <w:tr>
        <w:trPr/>
        <w:tc>
          <w:tcPr>
            <w:tcW w:w="190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Large accelerated filer</w:t>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color w:val="000000"/>
              </w:rPr>
            </w:pPr>
            <w:r>
              <w:rPr>
                <w:color w:val="000000"/>
              </w:rPr>
              <w:t>☒</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Accelerated filer</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Non-accelerated filer</w:t>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color w:val="000000"/>
              </w:rPr>
            </w:pPr>
            <w:r>
              <w:rPr>
                <w:color w:val="000000"/>
              </w:rPr>
              <w:t>☐</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Smaller reporting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Emerging growth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Indicate the number of shares outstanding of each of the issuer’s classes of common stock, as of the latest practicable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Common shares, $0.0001 par value—85,635,083</w:t>
      </w:r>
      <w:r>
        <w:rPr>
          <w:rFonts w:ascii="Times New Roman" w:hAnsi="Times New Roman"/>
          <w:color w:val="000000"/>
          <w:sz w:val="20"/>
        </w:rPr>
        <w:t xml:space="preserve"> </w:t>
      </w:r>
      <w:r>
        <w:rPr>
          <w:rFonts w:ascii="Times New Roman" w:hAnsi="Times New Roman"/>
          <w:color w:val="000000"/>
          <w:sz w:val="18"/>
        </w:rPr>
        <w:t>shares outstanding on June 4, 2026.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INFORMATION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04"/>
        <w:gridCol w:w="8599"/>
        <w:gridCol w:w="602"/>
      </w:tblGrid>
      <w:tr>
        <w:trPr/>
        <w:tc>
          <w:tcPr>
            <w:tcW w:w="1004" w:type="dxa"/>
            <w:tcBorders/>
            <w:vAlign w:val="center"/>
          </w:tcPr>
          <w:p>
            <w:pPr>
              <w:pStyle w:val="TableContents"/>
              <w:bidi w:val="0"/>
              <w:spacing w:before="0" w:after="283"/>
              <w:jc w:val="left"/>
              <w:rPr>
                <w:sz w:val="4"/>
                <w:szCs w:val="4"/>
              </w:rPr>
            </w:pPr>
            <w:r>
              <w:rPr>
                <w:sz w:val="4"/>
                <w:szCs w:val="4"/>
              </w:rPr>
            </w:r>
          </w:p>
        </w:tc>
        <w:tc>
          <w:tcPr>
            <w:tcW w:w="8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599"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rPr>
                <w:t>Financial Statements (unaudited)</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rPr>
                <w:t>Condensed Consolidated Balance Sheets as of April 30, 2026, January 31, 2026 and April 30,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income">
              <w:r>
                <w:rPr>
                  <w:rStyle w:val="InternetLink"/>
                  <w:rFonts w:ascii="Times New Roman" w:hAnsi="Times New Roman"/>
                  <w:color w:val="0000FF"/>
                  <w:sz w:val="20"/>
                </w:rPr>
                <w:t>Condensed Consolidated Statements of Income for the three months ended April 30,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ompre">
              <w:r>
                <w:rPr>
                  <w:rStyle w:val="InternetLink"/>
                  <w:rFonts w:ascii="Times New Roman" w:hAnsi="Times New Roman"/>
                  <w:color w:val="0000FF"/>
                  <w:sz w:val="20"/>
                </w:rPr>
                <w:t>Condensed Consolidated Statements of Comprehensive Income for the three months ended April 30,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hareholders_equity">
              <w:r>
                <w:rPr>
                  <w:rStyle w:val="InternetLink"/>
                  <w:rFonts w:ascii="Times New Roman" w:hAnsi="Times New Roman"/>
                  <w:color w:val="0000FF"/>
                  <w:sz w:val="20"/>
                </w:rPr>
                <w:t>Condensed Consolidated Statements of Shareholders’ Equity for the three months ended April 30,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ash_f">
              <w:r>
                <w:rPr>
                  <w:rStyle w:val="InternetLink"/>
                  <w:rFonts w:ascii="Times New Roman" w:hAnsi="Times New Roman"/>
                  <w:color w:val="0000FF"/>
                  <w:sz w:val="20"/>
                </w:rPr>
                <w:t>Condensed Consolidated Statements of Cash Flows for the three months ended April 30,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densed_consolidated_financia">
              <w:r>
                <w:rPr>
                  <w:rStyle w:val="InternetLink"/>
                  <w:rFonts w:ascii="Times New Roman" w:hAnsi="Times New Roman"/>
                  <w:color w:val="0000FF"/>
                  <w:sz w:val="20"/>
                </w:rPr>
                <w:t>Notes to Condensed Consolidated Financial Statements</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PART II</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INFORMATION</w:t>
            </w:r>
          </w:p>
        </w:tc>
      </w:tr>
      <w:tr>
        <w:trPr/>
        <w:tc>
          <w:tcPr>
            <w:tcW w:w="1004" w:type="dxa"/>
            <w:tcBorders/>
            <w:tcMar>
              <w:top w:w="0" w:type="dxa"/>
              <w:left w:w="0" w:type="dxa"/>
              <w:bottom w:w="0" w:type="dxa"/>
              <w:right w:w="0" w:type="dxa"/>
            </w:tcMar>
            <w:vAlign w:val="center"/>
          </w:tcPr>
          <w:p>
            <w:pPr>
              <w:pStyle w:val="TableContents"/>
              <w:bidi w:val="0"/>
              <w:spacing w:before="0" w:after="283"/>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rPr>
                <w:t>Legal Proceedings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rPr>
                <w:t>Risk Factors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hare_repos">
              <w:r>
                <w:rPr>
                  <w:rStyle w:val="InternetLink"/>
                  <w:rFonts w:ascii="Times New Roman" w:hAnsi="Times New Roman"/>
                  <w:color w:val="0000FF"/>
                  <w:sz w:val="20"/>
                </w:rPr>
                <w:t>Unregistered Sales of Equity Securities and the Use of Proceeds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rPr>
                <w:t>Other Information</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rPr>
                <w:t>Exhibits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59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rPr>
                <w:t>Signatures</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center"/>
        <w:rPr>
          <w:rFonts w:ascii="Times New Roman" w:hAnsi="Times New Roman"/>
          <w:sz w:val="20"/>
        </w:rPr>
      </w:pPr>
      <w:bookmarkStart w:id="3" w:name="financial_information"/>
      <w:bookmarkEnd w:id="3"/>
      <w:r>
        <w:rPr>
          <w:rFonts w:ascii="Times New Roman" w:hAnsi="Times New Roman"/>
          <w:b/>
          <w:color w:val="000000"/>
          <w:sz w:val="20"/>
        </w:rPr>
        <w:t>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938"/>
        <w:gridCol w:w="246"/>
        <w:gridCol w:w="211"/>
        <w:gridCol w:w="931"/>
        <w:gridCol w:w="246"/>
        <w:gridCol w:w="246"/>
        <w:gridCol w:w="211"/>
        <w:gridCol w:w="931"/>
        <w:gridCol w:w="246"/>
        <w:gridCol w:w="246"/>
        <w:gridCol w:w="211"/>
        <w:gridCol w:w="931"/>
        <w:gridCol w:w="611"/>
      </w:tblGrid>
      <w:tr>
        <w:trPr/>
        <w:tc>
          <w:tcPr>
            <w:tcW w:w="49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of </w:t>
              <w:br/>
              <w:t>   $1,189, $1,209 and $1,964,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280,545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193,561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1,620,770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237,471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332,817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4,764,768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accrued compensation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483,050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564,713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1,029,058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2,154,158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shares; $.0001 par value, 10,000,000 shares authorized,</w:t>
              <w:br/>
              <w:t>   none issued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$.0001 par value, 200,000,000 shares authorized,</w:t>
              <w:br/>
              <w:t>   85,601,280, 89,698,222 and 89,614,734 shares issued and</w:t>
              <w:br/>
              <w:t>   outstanding,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2,460,876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2,610,610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2,815,287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4,764,768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ondensed_consolidated_statements_income"/>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7499" w:type="dxa"/>
        <w:jc w:val="left"/>
        <w:tblInd w:w="0" w:type="dxa"/>
        <w:tblLayout w:type="fixed"/>
        <w:tblCellMar>
          <w:top w:w="28" w:type="dxa"/>
          <w:left w:w="28" w:type="dxa"/>
          <w:bottom w:w="28" w:type="dxa"/>
          <w:right w:w="28" w:type="dxa"/>
        </w:tblCellMar>
      </w:tblPr>
      <w:tblGrid>
        <w:gridCol w:w="3976"/>
        <w:gridCol w:w="146"/>
        <w:gridCol w:w="211"/>
        <w:gridCol w:w="1036"/>
        <w:gridCol w:w="146"/>
        <w:gridCol w:w="146"/>
        <w:gridCol w:w="211"/>
        <w:gridCol w:w="1036"/>
        <w:gridCol w:w="5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87,503,853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91,752,408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88,801,846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93,475,835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084" w:type="dxa"/>
        <w:jc w:val="left"/>
        <w:tblInd w:w="0" w:type="dxa"/>
        <w:tblLayout w:type="fixed"/>
        <w:tblCellMar>
          <w:top w:w="28" w:type="dxa"/>
          <w:left w:w="28" w:type="dxa"/>
          <w:bottom w:w="28" w:type="dxa"/>
          <w:right w:w="28" w:type="dxa"/>
        </w:tblCellMar>
      </w:tblPr>
      <w:tblGrid>
        <w:gridCol w:w="6051"/>
        <w:gridCol w:w="146"/>
        <w:gridCol w:w="211"/>
        <w:gridCol w:w="781"/>
        <w:gridCol w:w="166"/>
        <w:gridCol w:w="146"/>
        <w:gridCol w:w="211"/>
        <w:gridCol w:w="781"/>
        <w:gridCol w:w="591"/>
      </w:tblGrid>
      <w:tr>
        <w:trPr/>
        <w:tc>
          <w:tcPr>
            <w:tcW w:w="6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(losses) gains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consolidated_shareholders_equity"/>
      <w:bookmarkEnd w:id="8"/>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data)</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46"/>
        <w:gridCol w:w="1036"/>
        <w:gridCol w:w="166"/>
        <w:gridCol w:w="146"/>
        <w:gridCol w:w="211"/>
        <w:gridCol w:w="346"/>
        <w:gridCol w:w="146"/>
        <w:gridCol w:w="146"/>
        <w:gridCol w:w="211"/>
        <w:gridCol w:w="736"/>
        <w:gridCol w:w="166"/>
        <w:gridCol w:w="146"/>
        <w:gridCol w:w="211"/>
        <w:gridCol w:w="931"/>
        <w:gridCol w:w="166"/>
        <w:gridCol w:w="146"/>
        <w:gridCol w:w="270"/>
        <w:gridCol w:w="946"/>
        <w:gridCol w:w="166"/>
        <w:gridCol w:w="146"/>
        <w:gridCol w:w="211"/>
        <w:gridCol w:w="931"/>
        <w:gridCol w:w="211"/>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89,698,222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inclusive of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85,601,280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2,610,610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46"/>
        <w:gridCol w:w="1036"/>
        <w:gridCol w:w="166"/>
        <w:gridCol w:w="146"/>
        <w:gridCol w:w="211"/>
        <w:gridCol w:w="346"/>
        <w:gridCol w:w="146"/>
        <w:gridCol w:w="146"/>
        <w:gridCol w:w="211"/>
        <w:gridCol w:w="736"/>
        <w:gridCol w:w="166"/>
        <w:gridCol w:w="146"/>
        <w:gridCol w:w="211"/>
        <w:gridCol w:w="931"/>
        <w:gridCol w:w="166"/>
        <w:gridCol w:w="146"/>
        <w:gridCol w:w="270"/>
        <w:gridCol w:w="946"/>
        <w:gridCol w:w="166"/>
        <w:gridCol w:w="146"/>
        <w:gridCol w:w="211"/>
        <w:gridCol w:w="931"/>
        <w:gridCol w:w="211"/>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inclusive of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89,614,734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condensed_consolidated_statements_cash_f"/>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841"/>
        <w:gridCol w:w="166"/>
        <w:gridCol w:w="146"/>
        <w:gridCol w:w="211"/>
        <w:gridCol w:w="841"/>
        <w:gridCol w:w="10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tax credit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disposition of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203,416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share repurchase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taxes for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Tax credit investment liability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189,433</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activities—Accrued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85,109</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0" w:after="283"/>
        <w:jc w:val="center"/>
        <w:rPr/>
      </w:pPr>
      <w:r>
        <w:rPr/>
        <w:t> </w:t>
      </w:r>
    </w:p>
    <w:p>
      <w:pPr>
        <w:pStyle w:val="TextBody"/>
        <w:bidi w:val="0"/>
        <w:spacing w:before="6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0" w:name="notes_to_condensed_consolidated_financia"/>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(dollars 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(“U.S. GAAP”) for interim financial information and with the instructions to Form 10-Q and Article 10 of Regulation S-X. In the opinion of management, all adjustments (consisting of normal recurring accruals) considered necessary for a fair presentation have been included. These condensed financial statements should be read in conjunction with Urban Outfitters, Inc.’s (the “Company’s”) Annual Report on Form 10-K for the fiscal year ended January 31, 2026, filed with the United States Securities and Exchange Commission on April 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business experiences seasonal fluctuations in net sales and net income, with a more significant portion of net sales typically realized in the second half of each year predominantly due to the year-end holiday period. Historically, and consistent with the retail industry, this seasonality also impacts our working capital requirements, particularly with regard to inventory. Accordingly, the results of operations for the three months ended April 30, 2026 are not necessarily indicative of the results to be expected for the full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fiscal year ends on January 31. All references in these notes to the Company’s fiscal years refer to the fiscal years ended on January 31 in those years. For example, the Company’s fiscal year 2027 will end on January 31, 2027.</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Tariff Refunds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20, 2026, the U.S. Supreme Court ruled that tariffs previously imposed under the International Emergency Economic Powers Act ("IEEPA") were unauthorized by the statute. In March 2026, the U.S. Court of International Trade ("CIT") issued an order directing U.S. Customs and Border Protection to process refunds for IEEPA tariffs. The Company filed for refunds for previously paid IEEPA tariffs in April 2026 and estimates to realize approximately $100,000 during fiscal 2027. Due to uncertainty regarding the timing and amount of refunds, the Company will recognize a financial benefit when the refunds are realized or deemed realizable using a gain contingency accounting model. The principal portion of the refunds will be reflected as a reduction of cost of sales for amounts related to goods already sold or rented, or as a reduction of inventory or rental product for goods remaining on hand. Any associated interest income received on the tariff refunds will be recognized within "Other income, net" in the Condensed Consolidated Statements of Income. There continues to be uncertainty and legal challenges to current and proposed tariff regimes. The Company will continue to monitor ongoing developments related to tariffs.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Financial Accounting Standards Board ("FASB") issued an accounting standards update which requires disaggregated disclosure of certain costs and expenses including purchases of inventory, employee compensation, depreciation, amortization and other costs within relevant income statement captions. The update will be effective for the Company in its annual consolidated financial statements for the fiscal year ending January 31, 2028, and interim periods thereafter. The Company is currently assessing this update and the additional disclosures that will be required within the notes to its consolidated financial statements.</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Revenue from Contracts with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receivables occur when the Company satisfies all of its performance obligations under a contract and recognizes revenue prior to billing or receiving consideration from a customer for which it has an unconditional right to payment. Contract receivables arise from credit card and other electronic payment transactions and sales to the Company's wholesale segment customers and franchisees. For the three month period ended April 30, 2026, the opening and closing balances of contract receivables, net of allowance for doubtful accounts, were $95,668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$115,903, respectively. For the three month period ended April 30, 2025, the opening and closing balances of contract receivables, net of allowance for doubtful accounts, were $74,014 and $93,248, respectively. Contract receivables are included in “Accounts receivable, net of allowance for doubtful accounts” in the Condensed Consolidated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represent unearned revenue and result from the Company receiving consideration in a contract with a customer for which it has not satisfied all of its performance obligations. The Company’s contract liabilities result from the issuance of gift cards, deferred subscription fee revenue, customer deposits and customer loyalty programs. Gift cards are expected to be redeemed within two years of issuance, with the majority of redemptions occurring in the first year. For the three month period ended April 30, 2026, the opening and closing balances of contract liabilities were $117,500 and $112,257, respectively. For the three month period ended April 30, 2025, the opening and closing balances of contract liabilities were $101,866 and $100,887, respectively. Contract liabilities are included in “Accrued expenses, accrued compensation and other current liabilities” in the Condensed Consolidated Balance Sheets. During the three month period ended April 30, 2026, the Company recognized $46,924 of revenue that was included in the contract liability balance at the beginning of the period. During the three month period ended April 30, 2025, the Company recognized $39,773 of revenue that was included in the contract liability balance at the beginning of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all periods shown, marketable securities are classified as available-for-sale. The amortized cost, gross unrealized gains (losses) and fair value of available-for-sale securities by major security type and class of security as of April 30, 2026, January 31, 2026 and April 30, 2025 were as follows: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22"/>
        <w:gridCol w:w="664"/>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70"/>
        <w:gridCol w:w="616"/>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22"/>
        <w:gridCol w:w="664"/>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Proceeds from the sales and maturities of available-for-sale securities were $514,251 and $203,416 for the three months ended April 30, 2026, and 2025, respectively. The Company included in “Other income, net,” in the Condensed Consolidated Statements of Income, a net realized gain of $17 and $266 for the three months ended April 30, 2026 and 2025, respectively. Amortization of discounts and premiums, net, included in "Other income, net" in the Condensed Consolidated Statements of Income, resulted in a benefit of $260 and $1,543 for the three months ended April 30, 2026 and 2025, respectively. Mutual funds represent assets held in an irrevocable rabbi trust for the Company’s Non-qualified Deferred Compensation Plan (“NQDC”). These assets are a source of funds to match the funding obligations to participants in the NQDC but are subject to the Company’s general creditors. The Company elected the fair value option for financial assets for the mutual funds held in the rabbi trust resulting in all unrealized gains and losses being recorded in “Other income, net” in the Condensed Consolidated Statements of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utilizes a hierarchy that prioritizes fair value measurements based on the types of inputs used for the various valuation techniques (market approach, income approach and cost approach that relate to its financial assets and financial liabilities). The levels of the hierarchy are described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Observable inputs such as quoted prices in active markets for identical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Unobservable inputs that reflect the Company’s own assumptions.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Management’s assessment of the significance of a particular input to the fair value measurement requires judgment and may affect the valuation of financial assets and liabilities and their placement within the fair value hierarchy. The Company’s financial assets that are accounted for at fair value on a recurring basis are presented in the tables below: </w:t>
      </w:r>
    </w:p>
    <w:tbl>
      <w:tblPr>
        <w:tblW w:w="9785" w:type="dxa"/>
        <w:jc w:val="left"/>
        <w:tblInd w:w="0" w:type="dxa"/>
        <w:tblLayout w:type="fixed"/>
        <w:tblCellMar>
          <w:top w:w="28" w:type="dxa"/>
          <w:left w:w="28" w:type="dxa"/>
          <w:bottom w:w="28" w:type="dxa"/>
          <w:right w:w="28" w:type="dxa"/>
        </w:tblCellMar>
      </w:tblPr>
      <w:tblGrid>
        <w:gridCol w:w="4211"/>
        <w:gridCol w:w="186"/>
        <w:gridCol w:w="211"/>
        <w:gridCol w:w="676"/>
        <w:gridCol w:w="246"/>
        <w:gridCol w:w="186"/>
        <w:gridCol w:w="211"/>
        <w:gridCol w:w="781"/>
        <w:gridCol w:w="246"/>
        <w:gridCol w:w="186"/>
        <w:gridCol w:w="239"/>
        <w:gridCol w:w="391"/>
        <w:gridCol w:w="246"/>
        <w:gridCol w:w="18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9325" w:type="dxa"/>
        <w:jc w:val="left"/>
        <w:tblInd w:w="0" w:type="dxa"/>
        <w:tblLayout w:type="fixed"/>
        <w:tblCellMar>
          <w:top w:w="28" w:type="dxa"/>
          <w:left w:w="28" w:type="dxa"/>
          <w:bottom w:w="28" w:type="dxa"/>
          <w:right w:w="28" w:type="dxa"/>
        </w:tblCellMar>
      </w:tblPr>
      <w:tblGrid>
        <w:gridCol w:w="4211"/>
        <w:gridCol w:w="146"/>
        <w:gridCol w:w="211"/>
        <w:gridCol w:w="676"/>
        <w:gridCol w:w="146"/>
        <w:gridCol w:w="146"/>
        <w:gridCol w:w="211"/>
        <w:gridCol w:w="781"/>
        <w:gridCol w:w="146"/>
        <w:gridCol w:w="146"/>
        <w:gridCol w:w="239"/>
        <w:gridCol w:w="391"/>
        <w:gridCol w:w="146"/>
        <w:gridCol w:w="14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9325" w:type="dxa"/>
        <w:jc w:val="left"/>
        <w:tblInd w:w="0" w:type="dxa"/>
        <w:tblLayout w:type="fixed"/>
        <w:tblCellMar>
          <w:top w:w="28" w:type="dxa"/>
          <w:left w:w="28" w:type="dxa"/>
          <w:bottom w:w="28" w:type="dxa"/>
          <w:right w:w="28" w:type="dxa"/>
        </w:tblCellMar>
      </w:tblPr>
      <w:tblGrid>
        <w:gridCol w:w="4211"/>
        <w:gridCol w:w="146"/>
        <w:gridCol w:w="211"/>
        <w:gridCol w:w="676"/>
        <w:gridCol w:w="146"/>
        <w:gridCol w:w="146"/>
        <w:gridCol w:w="211"/>
        <w:gridCol w:w="781"/>
        <w:gridCol w:w="146"/>
        <w:gridCol w:w="146"/>
        <w:gridCol w:w="239"/>
        <w:gridCol w:w="391"/>
        <w:gridCol w:w="146"/>
        <w:gridCol w:w="14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assets consist of financial instruments whose value has been based on inputs that use, as their basis, readily observable market data that are actively quoted and are validated through external sources, including third-party pricing services and brokers.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2 assets consist of financial instruments whose value has been based on quoted prices for similar assets and liabilities in active markets as well as quoted prices for identical or similar assets or liabilities in markets that are not active.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3 assets consist of financial instruments where there has been no active market. The Company held no Level 3 financial instruments as of April 30, 2026, January 31, 2026 and April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cash and cash equivalents (Level 1) approximates carrying value since cash and cash equivalents consist of short-term highly liquid investments with maturities of less than three months at the time of purchase. As of April 30, 2026, January 31, 2026 and April 30, 2025, cash and cash equivalents included cash on hand, cash in banks, money market accounts and marketable securities with maturities of less than three months at the time of purchase. </w:t>
      </w:r>
    </w:p>
    <w:p>
      <w:pPr>
        <w:pStyle w:val="TextBody"/>
        <w:bidi w:val="0"/>
        <w:spacing w:before="360" w:after="283"/>
        <w:jc w:val="left"/>
        <w:rPr>
          <w:rFonts w:ascii="Times New Roman" w:hAnsi="Times New Roman"/>
          <w:sz w:val="20"/>
        </w:rPr>
      </w:pPr>
      <w:r>
        <w:rPr>
          <w:rFonts w:ascii="Times New Roman" w:hAnsi="Times New Roman"/>
          <w:b/>
          <w:i/>
          <w:color w:val="000000"/>
          <w:sz w:val="20"/>
        </w:rPr>
        <w:t>Non-financial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non-financial assets, primarily consisting of property and equipment and lease-related right-of-use assets, are tested for impairment whenever events or changes in circumstances indicate that the carrying value may not be recoverable.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property and equipment was determined using a discounted cash-flow model that utilized Level 3 inputs. The Company’s retail locations are reviewed for impairment at the retail location level, which is the lowest level at which individual cash flows can be identified. In calculating future cash flows, the Company makes estimates regarding future operating results based on its experience and knowledge of market factors in its retail locations. Right-of-use assets are tested for impairment in the same manner as property and equipment. For lease right-of-use assets, the Company determines the estimated fair value of the assets by comparing the discounted contractual rent payments to estimated market rent using an acceptable valuation methodology. During the three months ended April 30, 2026 and 2025, impairment charges were zero.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Debt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10, 2023, the Company and certain of its subsidiaries entered into the fourth amendment (the “Fourth Amendment”) to the Company’s amended and restated credit agreement (the “Amended Credit Agreement”), amending the Company’s asset-based revolving credit facility with its lenders, including JPMorgan Chase Bank, N.A., as administrative agent, joint lead arranger and co-book managers along with Wells Fargo Bank, National Association (the "Amended Credit Facility"). The Fourth Amendment permits the Company to purchase an equity membership interest in a federal low-income housing tax credit entity. See Note 6, "Tax Credit Investment," for further discussion of the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Credit Facility provides for loans and letters of credit up to $350,000, subject to a borrowing base that is comprised of the Company’s eligible accounts receivable and inventory and includes a swing-line sub-facility, a multicurrency sub-facility and the option to expand the facility by up to $150,000. Borrowings under the Amended Credit Facility may be used for working capital and other general corporate purposes. The Amended Credit Facility matures in June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Credit Facility provides for interest on borrowings, at the Company’s option, at either (i) adjusted SOFR, CDOR, SONIA or EURIBOR plus an applicable margin ranging from 1.125% to 1.375%, or (ii) an adjusted ABR plus an applicable margin ranging from 0.125% to 0.375%, each such applicable margin depending on the level of availability under the Amended Credit Facility. Depending on the type of borrowing, interest on the Amended Credit Facility is payable monthly, quarterly or at the end of the applicable interest period. A commitment fee of 0.20% is payable quarterly on the unused portion of the Amended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obligations under the Amended Credit Facility are unconditionally guaranteed by the Company and certain of its U.S. subsidiaries. The obligations under the Amended Credit Facility are secured by a first-priority security interest in inventory, accounts receivable and certain other assets of the Company and certain of its U.S. subsidiaries. The obligations of URBN Canada Retail, Inc. are secured by a first-priority security interest in its inventory, accounts receivable and certain other assets. The Amended Credit Agreement contains customary representations and warranties, negative and affirmative covenants and provisions relating to events of default.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the Company had $0 in borrowings under the Amended Credit Facility. As of April 30, 2026, the Company was in compliance with the terms of the Amended Credit Agreement and expects to remain in compliance with all terms, including covenants, of the Amended Credit Agreement. Outstanding stand-by letters of credit, which reduce the funds available under the Amended Credit Facility, were $9,755. Interest expense for the Amended Credit Facility was $241 for both the three months ended April 30, 2026 and 2025, which was included in “Other income, net” in the Condensed Consolidated Statements of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19, 2026, the Company and certain of its domestic subsidiaries entered into the fifth amendment (the "Fifth Amendment") to the Amended Credit Agreement. The Fifth Amendment, among other things, extends the maturity date of the Amended Credit Facility to May 2031, removes URBN Canada Retail, Inc. as a borrower and removes all Canadian dollar (CDOR) borrowing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Tax Credit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 equity membership interest in a federal low-income housing tax credit entity. Refer to Note 10, "Income Taxes," in the Notes to the Consolidated Financial Statements on Form 10-K for the fiscal year ended January 31, 2026, for additional information on the tax credit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included in "Other income, net" in the Condensed Consolidated Statements of Income, interest expense related to the accretion of the liability of $684 and $1,052 for the three months ended April 30, 2026 and 2025, respectively. Included in "Income tax expense" in the Condensed Consolidated Statements of Income was amortization of the investment of $3,726 and $4,293 for the three months ended April 30, 2026 and 2025, respectively. Also included in "Income tax expense" in the Condensed Consolidated Statements of Income were income tax credits and other income tax benefits of $5,139 and $5,967 for the three months ended April 30, 2026 and 2025, respectively. The carrying value of the investment is recorded in "Other assets" in the Condensed Consolidated Balance Sheets. The liabilities for the present value of the estimated future capital contributions are recorded in "Accrued expenses, accrued compensation and other current liabilities" and "Other non-current liabilities" in the Condensed Consolidated Balance Sheets. The following table summarizes the balances related to the investment at April 30, 2026, January 31, 2026 and April 30, 2025:</w:t>
      </w:r>
    </w:p>
    <w:p>
      <w:pPr>
        <w:pStyle w:val="TextBody"/>
        <w:bidi w:val="0"/>
        <w:spacing w:before="120" w:after="283"/>
        <w:jc w:val="left"/>
        <w:rPr/>
      </w:pPr>
      <w:r>
        <w:rPr/>
        <w:t> </w:t>
      </w:r>
    </w:p>
    <w:tbl>
      <w:tblPr>
        <w:tblW w:w="8978" w:type="dxa"/>
        <w:jc w:val="left"/>
        <w:tblInd w:w="0" w:type="dxa"/>
        <w:tblLayout w:type="fixed"/>
        <w:tblCellMar>
          <w:top w:w="28" w:type="dxa"/>
          <w:left w:w="28" w:type="dxa"/>
          <w:bottom w:w="28" w:type="dxa"/>
          <w:right w:w="28" w:type="dxa"/>
        </w:tblCellMar>
      </w:tblPr>
      <w:tblGrid>
        <w:gridCol w:w="5731"/>
        <w:gridCol w:w="211"/>
        <w:gridCol w:w="676"/>
        <w:gridCol w:w="146"/>
        <w:gridCol w:w="235"/>
        <w:gridCol w:w="755"/>
        <w:gridCol w:w="146"/>
        <w:gridCol w:w="211"/>
        <w:gridCol w:w="676"/>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accrued compensation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maintains stock incentive plans pursuant to which it can grant restricted shares, unrestricted shares, incentive stock options, non-qualified stock options, restricted stock units (“RSUs”), performance stock units (“PSUs”) or stock appreciation rights. The fair value of PSUs and RSUs is equal to the stock price on the date of the grant. Share-based compensation expense included in “Selling, general and administrative expenses” in the Condensed Consolidated Statements of Income, for the three months ended April 30, 2026 and 2025, was as follows: </w:t>
      </w:r>
    </w:p>
    <w:tbl>
      <w:tblPr>
        <w:tblW w:w="4509"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11"/>
        <w:gridCol w:w="571"/>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40"/>
        <w:jc w:val="both"/>
        <w:rPr>
          <w:rFonts w:ascii="Times New Roman" w:hAnsi="Times New Roman"/>
          <w:color w:val="000000"/>
          <w:sz w:val="20"/>
        </w:rPr>
      </w:pPr>
      <w:r>
        <w:rPr>
          <w:rFonts w:ascii="Times New Roman" w:hAnsi="Times New Roman"/>
          <w:color w:val="000000"/>
          <w:sz w:val="20"/>
        </w:rPr>
        <w:t xml:space="preserve">Share-based awards granted and the weighted-average fair value of such awards for the three months ended April 30, 2026 was as follows: </w:t>
      </w:r>
    </w:p>
    <w:tbl>
      <w:tblPr>
        <w:tblW w:w="5152" w:type="dxa"/>
        <w:jc w:val="left"/>
        <w:tblInd w:w="0" w:type="dxa"/>
        <w:tblLayout w:type="fixed"/>
        <w:tblCellMar>
          <w:top w:w="28" w:type="dxa"/>
          <w:left w:w="28" w:type="dxa"/>
          <w:bottom w:w="28" w:type="dxa"/>
          <w:right w:w="28" w:type="dxa"/>
        </w:tblCellMar>
      </w:tblPr>
      <w:tblGrid>
        <w:gridCol w:w="2116"/>
        <w:gridCol w:w="146"/>
        <w:gridCol w:w="146"/>
        <w:gridCol w:w="781"/>
        <w:gridCol w:w="246"/>
        <w:gridCol w:w="246"/>
        <w:gridCol w:w="290"/>
        <w:gridCol w:w="790"/>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485,096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559,730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During the three months ended April 30, 2026, 145,244 PSUs vested and 727,839 RSUs vested.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unrecognized compensation cost related to outstanding share-based awards and the weighted-average period in which the cost is expected to be recognized as of April 30, 2026 was as follows: </w:t>
      </w:r>
    </w:p>
    <w:tbl>
      <w:tblPr>
        <w:tblW w:w="5141" w:type="dxa"/>
        <w:jc w:val="left"/>
        <w:tblInd w:w="0" w:type="dxa"/>
        <w:tblLayout w:type="fixed"/>
        <w:tblCellMar>
          <w:top w:w="28" w:type="dxa"/>
          <w:left w:w="28" w:type="dxa"/>
          <w:bottom w:w="28" w:type="dxa"/>
          <w:right w:w="28" w:type="dxa"/>
        </w:tblCellMar>
      </w:tblPr>
      <w:tblGrid>
        <w:gridCol w:w="2116"/>
        <w:gridCol w:w="146"/>
        <w:gridCol w:w="270"/>
        <w:gridCol w:w="871"/>
        <w:gridCol w:w="246"/>
        <w:gridCol w:w="246"/>
        <w:gridCol w:w="246"/>
        <w:gridCol w:w="609"/>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8</w:t>
      </w:r>
      <w:r>
        <w:rPr>
          <w:rFonts w:ascii="Times New Roman" w:hAnsi="Times New Roman"/>
          <w:b/>
          <w:i/>
          <w:color w:val="000000"/>
          <w:sz w:val="20"/>
        </w:rPr>
        <w:t xml:space="preserve">. </w:t>
      </w:r>
      <w:r>
        <w:rPr>
          <w:rFonts w:ascii="Times New Roman" w:hAnsi="Times New Roman"/>
          <w:b/>
          <w:color w:val="000000"/>
          <w:sz w:val="20"/>
        </w:rPr>
        <w:t>Shareholders’ Equity</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Share repurchase activity under the Company's share repurchase program was as follows:</w:t>
      </w:r>
    </w:p>
    <w:tbl>
      <w:tblPr>
        <w:tblW w:w="8239" w:type="dxa"/>
        <w:jc w:val="left"/>
        <w:tblInd w:w="0" w:type="dxa"/>
        <w:tblLayout w:type="fixed"/>
        <w:tblCellMar>
          <w:top w:w="28" w:type="dxa"/>
          <w:left w:w="28" w:type="dxa"/>
          <w:bottom w:w="28" w:type="dxa"/>
          <w:right w:w="28" w:type="dxa"/>
        </w:tblCellMar>
      </w:tblPr>
      <w:tblGrid>
        <w:gridCol w:w="5326"/>
        <w:gridCol w:w="146"/>
        <w:gridCol w:w="211"/>
        <w:gridCol w:w="931"/>
        <w:gridCol w:w="146"/>
        <w:gridCol w:w="146"/>
        <w:gridCol w:w="211"/>
        <w:gridCol w:w="93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repurchased and subsequently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cost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cost per share, including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Inflation Reduction Act, the Company's share repurchases, net of issuances, are subject to a 1% excise tax. The total cost of share repurchases during the three months ended April 30, 2026 and April 30, 2025, excludes excise tax incurred of $2,647 and $1,193,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4, 2019, the Company’s Board of Directors authorized the repurchase of 20,000,000 common shares under a share repurchase program. As of April 30, 2026, 10,009,401 common shares were remaining under the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April 30, 2026, the Company acquired and subsequently retired 330,817 common shares at a total cost of $21,513 from employees to meet payroll tax withholding requirements on vested share-based awards. During the three months ended April 30, 2025, the Company acquired and subsequently retired 379,283 common shares at a total cost of $20,241 from employees to meet payroll tax withholding requirements on vested share-based awards.</w:t>
      </w:r>
    </w:p>
    <w:p>
      <w:pPr>
        <w:pStyle w:val="TextBody"/>
        <w:bidi w:val="0"/>
        <w:spacing w:before="360" w:after="283"/>
        <w:jc w:val="left"/>
        <w:rPr>
          <w:rFonts w:ascii="Times New Roman" w:hAnsi="Times New Roman"/>
          <w:sz w:val="20"/>
        </w:rPr>
      </w:pPr>
      <w:r>
        <w:rPr>
          <w:rFonts w:ascii="Times New Roman" w:hAnsi="Times New Roman"/>
          <w:b/>
          <w:color w:val="000000"/>
          <w:sz w:val="20"/>
        </w:rPr>
        <w:t>9</w:t>
      </w:r>
      <w:r>
        <w:rPr>
          <w:rFonts w:ascii="Times New Roman" w:hAnsi="Times New Roman"/>
          <w:b/>
          <w:i/>
          <w:color w:val="000000"/>
          <w:sz w:val="20"/>
        </w:rPr>
        <w:t xml:space="preserve">. </w:t>
      </w:r>
      <w:r>
        <w:rPr>
          <w:rFonts w:ascii="Times New Roman" w:hAnsi="Times New Roman"/>
          <w:b/>
          <w:color w:val="000000"/>
          <w:sz w:val="20"/>
        </w:rPr>
        <w:t>Other Comprehensive Income (Loss) and Accumulated Other Comprehensive Loss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tables present the changes in “Accumulated other comprehensive loss,” by component, net of tax, for the three months ended April 30, 2026 and 2025: </w:t>
      </w:r>
    </w:p>
    <w:tbl>
      <w:tblPr>
        <w:tblW w:w="7941" w:type="dxa"/>
        <w:jc w:val="left"/>
        <w:tblInd w:w="0" w:type="dxa"/>
        <w:tblLayout w:type="fixed"/>
        <w:tblCellMar>
          <w:top w:w="28" w:type="dxa"/>
          <w:left w:w="28" w:type="dxa"/>
          <w:bottom w:w="28" w:type="dxa"/>
          <w:right w:w="28" w:type="dxa"/>
        </w:tblCellMar>
      </w:tblPr>
      <w:tblGrid>
        <w:gridCol w:w="3516"/>
        <w:gridCol w:w="146"/>
        <w:gridCol w:w="211"/>
        <w:gridCol w:w="736"/>
        <w:gridCol w:w="166"/>
        <w:gridCol w:w="146"/>
        <w:gridCol w:w="338"/>
        <w:gridCol w:w="1012"/>
        <w:gridCol w:w="166"/>
        <w:gridCol w:w="146"/>
        <w:gridCol w:w="211"/>
        <w:gridCol w:w="736"/>
        <w:gridCol w:w="41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br/>
              <w:t>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w:t>
              <w:br/>
              <w:t>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w:t>
              <w:br/>
              <w: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41" w:type="dxa"/>
        <w:jc w:val="left"/>
        <w:tblInd w:w="0" w:type="dxa"/>
        <w:tblLayout w:type="fixed"/>
        <w:tblCellMar>
          <w:top w:w="28" w:type="dxa"/>
          <w:left w:w="28" w:type="dxa"/>
          <w:bottom w:w="28" w:type="dxa"/>
          <w:right w:w="28" w:type="dxa"/>
        </w:tblCellMar>
      </w:tblPr>
      <w:tblGrid>
        <w:gridCol w:w="3516"/>
        <w:gridCol w:w="146"/>
        <w:gridCol w:w="211"/>
        <w:gridCol w:w="736"/>
        <w:gridCol w:w="166"/>
        <w:gridCol w:w="146"/>
        <w:gridCol w:w="364"/>
        <w:gridCol w:w="986"/>
        <w:gridCol w:w="166"/>
        <w:gridCol w:w="146"/>
        <w:gridCol w:w="211"/>
        <w:gridCol w:w="736"/>
        <w:gridCol w:w="41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br/>
              <w:t>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w:t>
              <w:br/>
              <w:t>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w:t>
              <w:br/>
              <w:t>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unrealized gains and losses on available-for-sale securities reclassified from accumulated other comprehensive loss were recorded in “Other income, net” in the Condensed Consolidated Statements of Income. </w:t>
      </w:r>
    </w:p>
    <w:p>
      <w:pPr>
        <w:pStyle w:val="TextBody"/>
        <w:bidi w:val="0"/>
        <w:spacing w:before="360" w:after="283"/>
        <w:jc w:val="left"/>
        <w:rPr>
          <w:rFonts w:ascii="Times New Roman" w:hAnsi="Times New Roman"/>
          <w:sz w:val="20"/>
        </w:rPr>
      </w:pPr>
      <w:r>
        <w:rPr>
          <w:rFonts w:ascii="Times New Roman" w:hAnsi="Times New Roman"/>
          <w:b/>
          <w:color w:val="000000"/>
          <w:sz w:val="20"/>
        </w:rPr>
        <w:t>10. Net Income per Common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income per common share is calculated by dividing net income by the weighted-average number of common shares outstanding. Diluted net income per common share is calculated by dividing net income by the weighted-average number of common shares and potentially dilutive securities outstanding during the period using the treasury stock method for the Company's stock options, performance stock units and restricted stock units. The following is a reconciliation of the weighted-average common shares outstanding and calculation of basic and diluted net income per common share: </w:t>
      </w:r>
    </w:p>
    <w:tbl>
      <w:tblPr>
        <w:tblW w:w="7329" w:type="dxa"/>
        <w:jc w:val="left"/>
        <w:tblInd w:w="0" w:type="dxa"/>
        <w:tblLayout w:type="fixed"/>
        <w:tblCellMar>
          <w:top w:w="28" w:type="dxa"/>
          <w:left w:w="28" w:type="dxa"/>
          <w:bottom w:w="28" w:type="dxa"/>
          <w:right w:w="28" w:type="dxa"/>
        </w:tblCellMar>
      </w:tblPr>
      <w:tblGrid>
        <w:gridCol w:w="4186"/>
        <w:gridCol w:w="146"/>
        <w:gridCol w:w="211"/>
        <w:gridCol w:w="1036"/>
        <w:gridCol w:w="146"/>
        <w:gridCol w:w="146"/>
        <w:gridCol w:w="211"/>
        <w:gridCol w:w="103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87,503,853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91,752,408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options, performance stock units</w:t>
              <w:br/>
              <w:t>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1,723,427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88,801,846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93,475,835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months ended April 30, 2026 and 2025, there were no awards to purchase common shares that were excluded from the calculation of diluted net income per common share for which the impact would be anti-dilutive.</w:t>
      </w:r>
    </w:p>
    <w:p>
      <w:pPr>
        <w:pStyle w:val="TextBody"/>
        <w:bidi w:val="0"/>
        <w:jc w:val="both"/>
        <w:rPr>
          <w:rFonts w:ascii="Times New Roman" w:hAnsi="Times New Roman"/>
          <w:color w:val="000000"/>
          <w:sz w:val="20"/>
        </w:rPr>
      </w:pPr>
      <w:r>
        <w:rPr>
          <w:rFonts w:ascii="Times New Roman" w:hAnsi="Times New Roman"/>
          <w:color w:val="000000"/>
          <w:sz w:val="20"/>
        </w:rPr>
        <w:t>Excluded from the calculation of diluted net income per common share as of April 30, 2026 and April 30, 2025, were 166,454 and 209,248 performance-based equity awards, respectively, because they did not meet the required performance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party to various legal proceedings arising from normal business activities. Management believes that the ultimate resolution of these matters will not have a material adverse effect on the Company’s financial position, results of operations or cash flows. </w:t>
      </w:r>
    </w:p>
    <w:p>
      <w:pPr>
        <w:pStyle w:val="TextBody"/>
        <w:bidi w:val="0"/>
        <w:spacing w:before="360" w:after="283"/>
        <w:jc w:val="left"/>
        <w:rPr>
          <w:rFonts w:ascii="Times New Roman" w:hAnsi="Times New Roman"/>
          <w:sz w:val="20"/>
        </w:rPr>
      </w:pPr>
      <w:r>
        <w:rPr>
          <w:rFonts w:ascii="Times New Roman" w:hAnsi="Times New Roman"/>
          <w:b/>
          <w:color w:val="000000"/>
          <w:sz w:val="20"/>
        </w:rPr>
        <w:t>12. 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offers lifestyle-oriented general merchandise and products and services through a portfolio of global consumer brands. The Company operates three reportable segments – “Retail,” “Subscription” and “Wholesale.”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Retail segment includes Anthropologie (which includes the Anthropologie, Terrain and Maeve brands), FP Group (which includes the Free People and FP Movement brands), Urban Outfitters and Menus &amp; Venues. The Company has aggregated its brands into the Retail segment based upon their shared management, customer base and economic characteristics. Reporting in this format provides management with the financial information necessary to evaluate the success of the segments and the overall business. The Company’s Retail segment omni-channel strategy enhances its customers’ brand experience by providing a seamless approach to the customer shopping experience. All Company-owned Retail segment shopping channels are closely integrated, including retail locations, websites, mobile applications and customer contact centers.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Subscription segment includes the Nuuly brand which offers customers a more sustainable way to explore fashion primarily through a monthly women’s apparel subscription rental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Wholesale segment includes the FP Group and Urban Outfitters brand. The Wholesale segment sells through department and specialty stores worldwide, third-party digital businesses and the Company's Retail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chief operating decision maker is the chief executive officer ("CEO"). The CEO regularly reviews net sales, gross profit and income from operations (excluding intercompany charges) when evaluating the performance of each segment and considers actual-to-budget variances for both profit measures when assessing segment performance and making decisions about the allocation of operating and capital resources to each segment. The CEO uses net sales, gross profit and income from operations when evaluating each segment during the budget and forecasting processes. The Company accounts for intersegment sales and transfers as if the sales and transfers were made to third parties making similar volume purchases. General corporate expenses include expenses incurred and directed by the corporate office that are not allocated to segments. The principal identifiable assets for the Retail and Wholesale segments are inventory and property and equipment. The principal identifiable assets for the Subscription segment are rental product and property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of the reportable segments are the same as the policies described in Note 2, “Summary of Significant Accounting Policies,” in the Notes to Consolidated Financial Statements included in the Company’s Annual Report on Form 10-K for the fiscal year ended January 31, 2026. All of the Company’s segments are highly diversified. No one customer constitutes more than 10% of the Company’s total consolidated net sales. A summary of the information about the Company’s operations by segment is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212"/>
        <w:gridCol w:w="146"/>
        <w:gridCol w:w="235"/>
        <w:gridCol w:w="1042"/>
        <w:gridCol w:w="146"/>
        <w:gridCol w:w="146"/>
        <w:gridCol w:w="310"/>
        <w:gridCol w:w="1156"/>
        <w:gridCol w:w="146"/>
        <w:gridCol w:w="146"/>
        <w:gridCol w:w="316"/>
        <w:gridCol w:w="1020"/>
        <w:gridCol w:w="146"/>
        <w:gridCol w:w="146"/>
        <w:gridCol w:w="221"/>
        <w:gridCol w:w="976"/>
        <w:gridCol w:w="695"/>
      </w:tblGrid>
      <w:tr>
        <w:trPr/>
        <w:tc>
          <w:tcPr>
            <w:tcW w:w="3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1,481,345</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938,779</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542,566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389,882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152,684</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13,003</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145,866</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2"/>
        <w:gridCol w:w="146"/>
        <w:gridCol w:w="235"/>
        <w:gridCol w:w="1042"/>
        <w:gridCol w:w="146"/>
        <w:gridCol w:w="146"/>
        <w:gridCol w:w="310"/>
        <w:gridCol w:w="1156"/>
        <w:gridCol w:w="146"/>
        <w:gridCol w:w="146"/>
        <w:gridCol w:w="316"/>
        <w:gridCol w:w="1020"/>
        <w:gridCol w:w="146"/>
        <w:gridCol w:w="146"/>
        <w:gridCol w:w="221"/>
        <w:gridCol w:w="976"/>
        <w:gridCol w:w="695"/>
      </w:tblGrid>
      <w:tr>
        <w:trPr/>
        <w:tc>
          <w:tcPr>
            <w:tcW w:w="3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1,329,501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840,437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489,064</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342,385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146,679</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128,227</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137,873</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4"/>
        </w:rPr>
      </w:pPr>
      <w:r>
        <w:rPr>
          <w:rFonts w:ascii="Times New Roman" w:hAnsi="Times New Roman"/>
          <w:color w:val="000000"/>
          <w:sz w:val="20"/>
        </w:rPr>
        <w:t>Eliminated from Wholesale segment net sales were intercompany sales of $2,797</w:t>
      </w:r>
      <w:r>
        <w:rPr>
          <w:rFonts w:ascii="Times New Roman" w:hAnsi="Times New Roman"/>
          <w:color w:val="000000"/>
          <w:sz w:val="24"/>
        </w:rPr>
        <w:t xml:space="preserve"> </w:t>
      </w:r>
      <w:r>
        <w:rPr>
          <w:rFonts w:ascii="Times New Roman" w:hAnsi="Times New Roman"/>
          <w:color w:val="000000"/>
          <w:sz w:val="20"/>
        </w:rPr>
        <w:t>and $2,792</w:t>
      </w:r>
      <w:r>
        <w:rPr>
          <w:rFonts w:ascii="Times New Roman" w:hAnsi="Times New Roman"/>
          <w:color w:val="000000"/>
          <w:sz w:val="24"/>
        </w:rPr>
        <w:t xml:space="preserve"> </w:t>
      </w:r>
      <w:r>
        <w:rPr>
          <w:rFonts w:ascii="Times New Roman" w:hAnsi="Times New Roman"/>
          <w:color w:val="000000"/>
          <w:sz w:val="20"/>
        </w:rPr>
        <w:t>for the three months ended April 30, 2026, and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sz w:val="24"/>
        </w:rPr>
      </w:pPr>
      <w:r>
        <w:rPr>
          <w:rFonts w:ascii="Times New Roman" w:hAnsi="Times New Roman"/>
          <w:color w:val="000000"/>
          <w:sz w:val="20"/>
        </w:rPr>
        <w:t>Eliminated from Wholesale segment cost of sales were intercompany charges of $2,873</w:t>
      </w:r>
      <w:r>
        <w:rPr>
          <w:rFonts w:ascii="Times New Roman" w:hAnsi="Times New Roman"/>
          <w:color w:val="000000"/>
          <w:sz w:val="24"/>
        </w:rPr>
        <w:t xml:space="preserve"> </w:t>
      </w:r>
      <w:r>
        <w:rPr>
          <w:rFonts w:ascii="Times New Roman" w:hAnsi="Times New Roman"/>
          <w:color w:val="000000"/>
          <w:sz w:val="20"/>
        </w:rPr>
        <w:t>and $2,818</w:t>
      </w:r>
      <w:r>
        <w:rPr>
          <w:rFonts w:ascii="Times New Roman" w:hAnsi="Times New Roman"/>
          <w:color w:val="000000"/>
          <w:sz w:val="24"/>
        </w:rPr>
        <w:t xml:space="preserve"> </w:t>
      </w:r>
      <w:r>
        <w:rPr>
          <w:rFonts w:ascii="Times New Roman" w:hAnsi="Times New Roman"/>
          <w:color w:val="000000"/>
          <w:sz w:val="20"/>
        </w:rPr>
        <w:t>for the three months ended April 30, 2026, and 2025, respectively.</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3296"/>
        <w:gridCol w:w="246"/>
        <w:gridCol w:w="211"/>
        <w:gridCol w:w="931"/>
        <w:gridCol w:w="246"/>
        <w:gridCol w:w="246"/>
        <w:gridCol w:w="211"/>
        <w:gridCol w:w="931"/>
        <w:gridCol w:w="246"/>
        <w:gridCol w:w="246"/>
        <w:gridCol w:w="211"/>
        <w:gridCol w:w="931"/>
        <w:gridCol w:w="591"/>
      </w:tblGrid>
      <w:tr>
        <w:trPr/>
        <w:tc>
          <w:tcPr>
            <w:tcW w:w="32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665,780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630,836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inventory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726,858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Rental product, net </w:t>
            </w:r>
            <w:r>
              <w:rPr>
                <w:rFonts w:ascii="Times New Roman" w:hAnsi="Times New Roman"/>
                <w:b/>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1,342,093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1,213,621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275,696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1,620,770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Rental product, net is included in "Other assets"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summarize net sales and percentage of net sales from contracts with customers by merchandise category and by segment:</w:t>
      </w:r>
    </w:p>
    <w:tbl>
      <w:tblPr>
        <w:tblW w:w="7567" w:type="dxa"/>
        <w:jc w:val="left"/>
        <w:tblInd w:w="0" w:type="dxa"/>
        <w:tblLayout w:type="fixed"/>
        <w:tblCellMar>
          <w:top w:w="28" w:type="dxa"/>
          <w:left w:w="28" w:type="dxa"/>
          <w:bottom w:w="28" w:type="dxa"/>
          <w:right w:w="28" w:type="dxa"/>
        </w:tblCellMar>
      </w:tblPr>
      <w:tblGrid>
        <w:gridCol w:w="2286"/>
        <w:gridCol w:w="146"/>
        <w:gridCol w:w="211"/>
        <w:gridCol w:w="931"/>
        <w:gridCol w:w="146"/>
        <w:gridCol w:w="146"/>
        <w:gridCol w:w="146"/>
        <w:gridCol w:w="421"/>
        <w:gridCol w:w="271"/>
        <w:gridCol w:w="146"/>
        <w:gridCol w:w="211"/>
        <w:gridCol w:w="931"/>
        <w:gridCol w:w="146"/>
        <w:gridCol w:w="146"/>
        <w:gridCol w:w="146"/>
        <w:gridCol w:w="421"/>
        <w:gridCol w:w="716"/>
      </w:tblGrid>
      <w:tr>
        <w:trPr/>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Wholesale operations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Net of intersegment elimination.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Apparel category includes intimates and activewear. The Home category includes home furnishings, electronics, gifts and decorative items. The Accessories category includes footwear, jewelry and handbags. The Other category includes beauty and shipping and handling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foreign operations primarily in Europe and Canada. Revenues and long-lived assets, based upon the Company’s domestic and foreign operations, are as follows: </w:t>
      </w:r>
    </w:p>
    <w:tbl>
      <w:tblPr>
        <w:tblW w:w="8543" w:type="dxa"/>
        <w:jc w:val="left"/>
        <w:tblInd w:w="0" w:type="dxa"/>
        <w:tblLayout w:type="fixed"/>
        <w:tblCellMar>
          <w:top w:w="28" w:type="dxa"/>
          <w:left w:w="28" w:type="dxa"/>
          <w:bottom w:w="28" w:type="dxa"/>
          <w:right w:w="28" w:type="dxa"/>
        </w:tblCellMar>
      </w:tblPr>
      <w:tblGrid>
        <w:gridCol w:w="3296"/>
        <w:gridCol w:w="246"/>
        <w:gridCol w:w="211"/>
        <w:gridCol w:w="931"/>
        <w:gridCol w:w="246"/>
        <w:gridCol w:w="246"/>
        <w:gridCol w:w="211"/>
        <w:gridCol w:w="931"/>
        <w:gridCol w:w="246"/>
        <w:gridCol w:w="246"/>
        <w:gridCol w:w="211"/>
        <w:gridCol w:w="931"/>
        <w:gridCol w:w="591"/>
      </w:tblGrid>
      <w:tr>
        <w:trPr/>
        <w:tc>
          <w:tcPr>
            <w:tcW w:w="32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1,459,372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1,303,937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1,620,770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99" w:type="dxa"/>
        <w:jc w:val="left"/>
        <w:tblInd w:w="0" w:type="dxa"/>
        <w:tblLayout w:type="fixed"/>
        <w:tblCellMar>
          <w:top w:w="28" w:type="dxa"/>
          <w:left w:w="28" w:type="dxa"/>
          <w:bottom w:w="28" w:type="dxa"/>
          <w:right w:w="28" w:type="dxa"/>
        </w:tblCellMar>
      </w:tblPr>
      <w:tblGrid>
        <w:gridCol w:w="1986"/>
        <w:gridCol w:w="146"/>
        <w:gridCol w:w="211"/>
        <w:gridCol w:w="931"/>
        <w:gridCol w:w="146"/>
        <w:gridCol w:w="146"/>
        <w:gridCol w:w="211"/>
        <w:gridCol w:w="931"/>
        <w:gridCol w:w="591"/>
      </w:tblGrid>
      <w:tr>
        <w:trPr/>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1,172,150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Certain matters contained in this filing with the United States Securities and Exchange Commission (“SEC”) may contain forward-looking statements and are being made pursuant to the “safe harbor” provisions of the Private Securities Litigation Reform Act of 1995. When used in this Quarterly Report on Form 10-Q, the words “project,” “believe,” “plan,” “will,” “anticipate,” “expect” and similar expressions are intended to identify forward-looking statements, although not all forward-looking statements contain these identifying words. Any one, or all, of the following factors could cause actual financial results to differ materially from those financial results mentioned in the forward-looking statements: overall economic and market conditions (including current levels of inflation) and worldwide political events and the resultant impact on consumer spending patterns and our pricing power, the difficulty in predicting and responding to shifts in fashion trends, changes in the level of competitive pricing and promotional activity and other industry factors, currency fluctuations, economic conditions and legal or regulatory changes, the effects of war and geopolitical instability, including impacts of the conflicts in the Middle East and impacts of the war between Russia and Ukraine and from related sanctions imposed by the United States, European Union, United Kingdom and others, terrorism and civil unrest, natural disasters, severe or unseasonable weather conditions (including as a result of climate change) or public health crises, labor shortages and increases in labor costs, raw material costs and transportation costs, availability of suitable retail space for expansion, timing of store openings, risks associated with international expansion, seasonal fluctuations in gross sales, response to new concepts, our ability to integrate acquisitions, risks associated with digital sales, our ability to maintain and expand our digital sales channels, any material disruptions or security breaches with respect to our technology systems, our effective utilization of technological advancements, including in artificial intelligence, the departure of one or more key senior executives, import risks (including any shortage of transportation capacities or delays at ports), changes to U.S. and foreign trade policies (including the enactment of tariffs such as retaliatory tariffs), border adjustment taxes or increases in duties or quotas, the unexpected closing or disruption of, or any damage to, any of our distribution centers, our ability to protect our intellectual property rights, failure of our manufacturers and third-party vendors to comply with our social compliance program, risks related to environmental, social and governance activities, changes in our effective income tax rate, changes in accounting standards and subjective assumptions, regulatory changes and legal matters and other risks identified in our filings with the SEC, including those set forth in Item 1A of our Annual Report on Form 10-K for the fiscal year ended January 31, 2026, filed on April 1, 2026. We disclaim any intent or obligation to update forward-looking statements even if experience or future changes make it clear that actual results may differ materially from any projected results expressed or implied therein.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the context otherwise requires, all references to the “Company,” “we,” “us” or “our” refer to Urban Outfitters, Inc., together with its subsidiaries.</w:t>
      </w:r>
    </w:p>
    <w:p>
      <w:pPr>
        <w:pStyle w:val="TextBody"/>
        <w:bidi w:val="0"/>
        <w:spacing w:before="36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three reportable segments – Retail, Subscription and Wholesale. Our Retail segment primarily includes our Anthropologie, Free People, FP Movement and Urban Outfitters brands. Our Retail segment products and services are sold directly to our customers through our retail locations, websites, mobile applications, social media and third-party digital platforms, customer contact centers and franchisee-owned stores. Our Subscription segment includes the Nuuly brand, which offers customers a more sustainable way to explore fashion primarily through a monthly women’s apparel subscription rental service. Our Wholesale segment includes our Free People, FP Movement and Urban Outfitters brands that sell through department and specialty stores worldwide, third-party digital businesses and our Retail segment. Our Wholesale segment primarily designs, develops and markets apparel, intimates, activewear and shoes.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fiscal year ends on January 31. All references to our fiscal years refer to the fiscal years ended on January 31 in those years. For example, our fiscal year 2027 will end on January 31, 2027 and our fiscal year 2026 ended on January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used in this document, unless otherwise defined, "Anthropologie" refers to our Anthropologie, Terrain and Maeve brands and "FP Group" refers to our Free People and FP Movement brands.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Macroeconomic Environment and Other 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in early 2025, the U.S. government enacted significant changes to its tariff regime that increased rates on a substantial number of imports. In February 2026, the U.S. Supreme Court invalidated many of the existing International Economic Emergency Powers Act ("IEEPA") tariffs. In March 2026, the U.S. Court of International Trade ("CIT") issued an order directing U.S. Customs and Border Protection to process refunds for IEEPA tariffs. We filed for refunds for previously paid IEEPA tariffs in April 2026 and estimate to realize approximately $100.0 million during fiscal 2027. Due to uncertainty regarding the timing and amount of refunds, we will recognize a financial benefit when the refunds are realized or deemed realizable using a gain contingency accounting model. The principal portion of the refunds will be reflected as a reduction of cost of sales for amounts related to goods already sold or rented, or as a reduction of inventory or rental product for goods remaining on hand. Any associated interest income received on the tariff refunds will be recognized within "Other income, net" in the Condensed Consolidated Statements of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response to the U.S. Supreme Court invalidating many of the IEEPA tariffs, in February 2026 the government instituted incremental global tariffs on all imports under Section 122 of the Trade Act of 1974 ("Section 122") and signaled it may seek higher tariffs. In May 2026, a ruling by the CIT stated that the Section 122 tariffs are unauthorized by the statute, but we are required to continue paying them until July 2026. We are monitoring the legal challenges to these tariffs and whether we will be eligible for additional refunds.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additional tariff increases may continue to result in increased reciprocal tariffs or other restrictive trade measures by the U.S. or foreign jurisdictions. There also continues to be legal challenges to current and proposed tariff regimes. These factors may continue to contribute to uncertain global economic conditions (including inflationary costs, consumer spending patterns and volatility in foreign currencies), which may impact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continue to regularly evaluate global trade policies and take appropriate actions when necessary to mitigate the risks associated with tariffs. These actions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Negotiating better terms with our vendors;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Shifting our countries of origin (where possible) to enable the dual sourcing most of our own branded products (we currently have no single country that represents the majority of our production);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Shifting our mode of transportation from air to ocean;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Gently raising prices in a strategic fashion where we believe we could without affecting the overall customer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with these mitigation strategies in place, we believe that tariffs could have a negative impact on our financial results. We will continue to monitor ongoing developments related to 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conflict in the Middle East, which began during the first quarter of fiscal 2027, has contributed to increased geopolitical uncertainty including impacts to global supply chains and energy prices. We are actively employing supply chain strategies to mitigate higher inbound freight costs and higher delivery expenses driven by the fuel surcharges associated with the ongoing conflict. We will continue to monitor the conflict, the duration and magnitude of which remains highly unpredictable and may continue to negatively impact our operations and financial results throughout fiscal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United States enacted legislation commonly referred to as the One Big Beautiful Bill Act which includes various tax provisions, such as the permanent extension of certain expiring provisions of the Tax Cuts and Jobs Act, modifications to the international tax framework and the restoration of favorable tax treatment for certain business provisions like bonus depreciation. The legislation has multiple effective dates, with certain provisions effective in 2025 and others implemented through 2027. This legislation, enacted during the second quarter of fiscal 2026, did not have a material impact on the Company's fiscal 2026 income tax provision nor the Company's interim period income tax provision for the three months ended April 30, 2026. The Company continues to assess the impact of the legislation on our financial statements. We do not expect a material impact to our financial statements for the fiscal year ending January 31, 2027, however, additional guidance from the Internal Revenue Service and U.S. Treasury may affect the interpretation and application of certain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Retail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Retail segment omni-channel strategy enhances our customers’ brand experience by providing a seamless approach to the customer shopping experience. All Company-owned Retail segment shopping channels are closely integrated, including retail locations, websites, mobile applications, social media and third-party platforms and customer contact centers. Our investments in areas such as marketing campaigns and technology advancements are designed to generate demand for the Retail segment omni-channel and not the separate store or digital channels. We manage and analyze our performance based on a single Retail segment omni-channel rather than separate channels and believe that the Retail segment omni-channel results present the most meaningful and appropriate measure of our performance.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comparable Retail segment net sales data is equal to the sum of our comparable store and comparable digital channel net sales. A store is considered to be comparable if it has been open at least 12 full months, unless it was materially expanded or remodeled within that year or was not otherwise operating at its full capacity within that year due to store specific closures from events such as damage from fire, flood and natural weather events. A digital channel is considered to be comparable if it has been operational for at least 12 full months. Sales from stores and digital channels that do not fall within the definition of comparable store or digital channel are considered to be non-comparable. Franchise net sales and the effects of foreign currency translation are also considered non-comparable.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monitor Retail segment metrics including customer traffic, conversion rates and average units per transaction at our stores and on our websites and mobile applications. We also monitor average unit selling price and transactions at our stores and average order value on our websites and mobile applications. We believe that changes in any of these metrics may be caused by a response to our brands’ fashion offerings, our marketing campaigns and an overall growth in brand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from the Retail segment accounted for approximately 82.4% of consolidated net sales for the three months ended April 30, 2026, compared to 85.0%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Anthropologie brand tailors its merchandise and inviting store environment to sophisticated and contemporary women aged 28 to 45. The internally designed and third-party brand product assortment includes women’s apparel, accessories, intimates, shoes, furniture, home decor and beauty and wellness. The brand also has a bridal collection consisting of wedding, bridesmaid and party dresses, accessories and decor. The Terrain brand is designed to appeal to women and men interested in a creative and sophisticated outdoor living and gardening experience. Merchandise includes lifestyle home, garden and outdoor living products, antiques, live plants, flowers, wellness products and accessories. The Maeve brand is designed to appeal to the modern woman seeking a versatile wardrobe by offering a comprehensive range of women's apparel, shoes and accessories. We are in the early stages of testing Maeve as a standalone brand which we will continue to evaluate over the coming years. Anthropologie stores are located in specialty centers, upscale street locations and enclosed malls. Anthropologie operates websites and mobile applications that capture the spirit of its brands by offering a similar yet broader selection of merchandise as found in its stores and sells merchandise through franchisee-owned stores in the Middle East. Anthropologie's North American Retail segment net sales accounted for approximately 46.5% of total Retail segment net sales for the three months ended April 30, 2026, compared to approximately 48.6% for the comparable period in fiscal 2026. European Retail segment net sales accounted for approximately 1.7% of total Retail segment net sales for the three months ended April 30, 2026, compared to approximately 1.8%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FP Group consists of the Free People brand and the FP Movement brand. The Free People brand focuses its product offering on private label merchandise targeted to young contemporary women aged 25 to 30 and provides a unique merchandise mix of casual women’s apparel, intimates, activewear, shoes, accessories, home products, gifts and beauty and wellness. The FP Movement brand offers performance-ready activewear, beyond-the-gym staples and wellness essentials. FP Group stores are located in enclosed malls, upscale street locations and specialty centers. FP Group operates websites and mobile applications that capture the spirit of its brands by offering a similar yet broader selection of merchandise as found in its stores, as well as substantially all of the FP Group wholesale offerings. FP Group's North American Retail segment net sales accounted for approximately 25.2% of total Retail segment net sales for the three months ended April 30, 2026, compared to approximately 23.8% for the comparable period in fiscal 2026. European Retail segment net sales accounted for approximately 1.3% of total Retail segment net sales for both the three months ended April 30, 2026, and the comparable period in fiscal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Urban Outfitters targets young adults aged 18 to 28 through a unique merchandise mix, compelling store environment, social media and third-party digital platforms, websites and mobile applications and a product offering that includes women’s and men’s fashion apparel, activewear, intimates, footwear, accessories, home goods, electronics and beauty. A large portion of our merchandise is exclusive to Urban Outfitters, consisting of an assortment of products designed internally or designed in collaboration with third-party brands. Urban Outfitters stores are located in street locations in large metropolitan areas and select university communities, specialty centers and enclosed malls that accommodate our customers’ propensity not only to shop, but also to congregate with their peers. Urban Outfitters operates websites and mobile applications that capture the spirit of the brand by offering a similar yet broader selection of merchandise as found in its stores and sells merchandise through franchisee-owned stores in the Middle East. Urban Outfitters’ North American Retail segment net sales accounted for approximately 14.3% of total Retail segment net sales for the three months ended April 30, 2026, compared to approximately 14.8% for the comparable period in fiscal 2026. European Retail segment net sales accounted for approximately 10.3% of total Retail segment net sales for the three months ended April 30, 2026, compared to approximately 8.9%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Menus &amp; Venues focuses on a dining and event experience that provides excellence in food, beverage and service. Menus &amp; Venues net sales accounted for less than 1.0% of total Retail segment net sales for both the three months ended April 30, 2026, and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Store data for the three months ended April 30, 2026 was as follows:</w:t>
      </w:r>
    </w:p>
    <w:p>
      <w:pPr>
        <w:pStyle w:val="TextBody"/>
        <w:bidi w:val="0"/>
        <w:jc w:val="both"/>
        <w:rPr/>
      </w:pPr>
      <w:r>
        <w:rPr/>
        <w:t> </w:t>
      </w:r>
    </w:p>
    <w:tbl>
      <w:tblPr>
        <w:tblW w:w="7576" w:type="dxa"/>
        <w:jc w:val="left"/>
        <w:tblInd w:w="0" w:type="dxa"/>
        <w:tblLayout w:type="fixed"/>
        <w:tblCellMar>
          <w:top w:w="28" w:type="dxa"/>
          <w:left w:w="28" w:type="dxa"/>
          <w:bottom w:w="28" w:type="dxa"/>
          <w:right w:w="28" w:type="dxa"/>
        </w:tblCellMar>
      </w:tblPr>
      <w:tblGrid>
        <w:gridCol w:w="2956"/>
        <w:gridCol w:w="146"/>
        <w:gridCol w:w="254"/>
        <w:gridCol w:w="736"/>
        <w:gridCol w:w="146"/>
        <w:gridCol w:w="146"/>
        <w:gridCol w:w="194"/>
        <w:gridCol w:w="467"/>
        <w:gridCol w:w="146"/>
        <w:gridCol w:w="146"/>
        <w:gridCol w:w="172"/>
        <w:gridCol w:w="414"/>
        <w:gridCol w:w="166"/>
        <w:gridCol w:w="146"/>
        <w:gridCol w:w="193"/>
        <w:gridCol w:w="557"/>
        <w:gridCol w:w="5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Anthropologie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Anthropologie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FP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People Brand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FP Movement Brand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FP Group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Urban Outfitters Global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Menus &amp; Venues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Franchisee-Owned Stores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FP Movement brand stores are all located in North America.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Menus &amp; Venues includes various casual restaurants and event venues, all of which are located in North America.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Franchisee-owned stores are located in the Middle East.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square footage by brand as of April 30, 2026 and 2025 was as follows:</w:t>
      </w:r>
    </w:p>
    <w:p>
      <w:pPr>
        <w:pStyle w:val="TextBody"/>
        <w:bidi w:val="0"/>
        <w:jc w:val="both"/>
        <w:rPr/>
      </w:pPr>
      <w:r>
        <w:rPr/>
        <w:t> </w:t>
      </w:r>
    </w:p>
    <w:tbl>
      <w:tblPr>
        <w:tblW w:w="6678" w:type="dxa"/>
        <w:jc w:val="left"/>
        <w:tblInd w:w="0" w:type="dxa"/>
        <w:tblLayout w:type="fixed"/>
        <w:tblCellMar>
          <w:top w:w="28" w:type="dxa"/>
          <w:left w:w="28" w:type="dxa"/>
          <w:bottom w:w="28" w:type="dxa"/>
          <w:right w:w="28" w:type="dxa"/>
        </w:tblCellMar>
      </w:tblPr>
      <w:tblGrid>
        <w:gridCol w:w="3271"/>
        <w:gridCol w:w="146"/>
        <w:gridCol w:w="152"/>
        <w:gridCol w:w="598"/>
        <w:gridCol w:w="146"/>
        <w:gridCol w:w="146"/>
        <w:gridCol w:w="152"/>
        <w:gridCol w:w="598"/>
        <w:gridCol w:w="146"/>
        <w:gridCol w:w="146"/>
        <w:gridCol w:w="157"/>
        <w:gridCol w:w="504"/>
        <w:gridCol w:w="5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square footage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Anthropologie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FP Movement Brand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Urban 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0"/>
              </w:rPr>
              <w:t xml:space="preserve">Total URBN </w:t>
            </w:r>
            <w:r>
              <w:rPr>
                <w:rFonts w:ascii="Times New Roman" w:hAnsi="Times New Roman"/>
                <w:b/>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Menus &amp; Venues locations and franchisee-owned stores are not included in selling square footage.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for future store growth for our brands to come from expansion domestically and internationally, which may include opening stores in new and existing markets or entering into additional franchise agreements. We plan for future digital channel growth to come from expansion domestically and internationally.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Projected store openings and closings for fiscal 2027 are as follows:</w:t>
      </w:r>
    </w:p>
    <w:p>
      <w:pPr>
        <w:pStyle w:val="TextBody"/>
        <w:bidi w:val="0"/>
        <w:jc w:val="both"/>
        <w:rPr/>
      </w:pPr>
      <w:r>
        <w:rPr/>
        <w:t> </w:t>
      </w:r>
    </w:p>
    <w:tbl>
      <w:tblPr>
        <w:tblW w:w="7506" w:type="dxa"/>
        <w:jc w:val="left"/>
        <w:tblInd w:w="0" w:type="dxa"/>
        <w:tblLayout w:type="fixed"/>
        <w:tblCellMar>
          <w:top w:w="28" w:type="dxa"/>
          <w:left w:w="28" w:type="dxa"/>
          <w:bottom w:w="28" w:type="dxa"/>
          <w:right w:w="28" w:type="dxa"/>
        </w:tblCellMar>
      </w:tblPr>
      <w:tblGrid>
        <w:gridCol w:w="2671"/>
        <w:gridCol w:w="146"/>
        <w:gridCol w:w="254"/>
        <w:gridCol w:w="736"/>
        <w:gridCol w:w="146"/>
        <w:gridCol w:w="146"/>
        <w:gridCol w:w="240"/>
        <w:gridCol w:w="571"/>
        <w:gridCol w:w="146"/>
        <w:gridCol w:w="146"/>
        <w:gridCol w:w="226"/>
        <w:gridCol w:w="585"/>
        <w:gridCol w:w="166"/>
        <w:gridCol w:w="146"/>
        <w:gridCol w:w="254"/>
        <w:gridCol w:w="73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Anthropologie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FP Movement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Menus &amp; 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Subscription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Subscription segment includes the Nuuly brand, which is primarily a monthly women’s apparel subscription rental service. For a monthly fee, Nuuly subscribers can rent product from a wide selection of the Company’s own brands, third-party brands and one-of-a-kind vintage pieces via a custom-built digital platform. Subscribers select their products each month, wear them as often as they like and then swap into new products the following month. Subscribers are also able to purchase rental product in their possession that was delivered as part of the customer's monthly subscription rental order or through the Nuuly website or mobile application, which will ship along with their next monthly subscription rental order. Our Subscription segment net sales accounted for approximately 11.3% of consolidated net sales for the three months ended April 30, 2026, compared to approximately 9.4% for the comparable period in fiscal 2026.</w:t>
      </w:r>
    </w:p>
    <w:p>
      <w:pPr>
        <w:pStyle w:val="TextBody"/>
        <w:bidi w:val="0"/>
        <w:spacing w:before="360" w:after="283"/>
        <w:jc w:val="left"/>
        <w:rPr>
          <w:rFonts w:ascii="Times New Roman" w:hAnsi="Times New Roman"/>
          <w:sz w:val="20"/>
        </w:rPr>
      </w:pPr>
      <w:r>
        <w:rPr>
          <w:rFonts w:ascii="Times New Roman" w:hAnsi="Times New Roman"/>
          <w:i/>
          <w:color w:val="000000"/>
          <w:sz w:val="20"/>
        </w:rPr>
        <w:t>Wholesale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Wholesale segment includes the FP Group and Urban Outfitters brand that sell through department and specialty stores worldwide, third-party digital businesses and our Retail segment. The Wholesale segment primarily designs, develops and markets young women’s contemporary casual apparel, intimates, FP Movement activewear and shoes under the FP Group brands and the BDG and “iets frans” apparel collections under the Urban Outfitters brand. Our Wholesale segment net sales accounted for approximately 6.3% of consolidated net sales for the three months ended April 30, 2026, compared to 5.6% for the comparable period in fiscal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generally accepted accounting principles in the United States. These generally accepted accounting principles require management to make estimates and assumptions that affect the reported amounts of assets, liabilities, net sales and expenses during the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significant accounting policies are described in Note 2, “Summary of Significant Accounting Policies,” in the Notes to our Consolidated Financial Statements for the fiscal year ended January 31, 2026, which are included in our Annual Report on Form 10-K filed with the SEC on April 1, 2026. Critical accounting policies are those that are most important to the portrayal of our financial condition, results of operations and cash flows and require management’s most difficult, subjective and complex judgments, often as a result of the need to make estimates about the effect of matters that are inherently uncertain. If actual results were to differ significantly from estimates made, the reported results could be materially affected. We are not currently aware of any reasonably likely events or circumstances that would cause our actual results to be materially different from our estimates. There have been no significant changes to our critical accounting policies during the three months ended April 30,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a Percentage of Net Sales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tables below set forth, for the periods indicated, certain income statement data and the percentage of our net sales represented by such data. The tables should be read in conjunction with the discussion that follows. </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April 30, 2026 (Fiscal 2027) Compared To</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April 30, 2025 (Fiscal 2026)</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3736"/>
        <w:gridCol w:w="211"/>
        <w:gridCol w:w="721"/>
        <w:gridCol w:w="146"/>
        <w:gridCol w:w="146"/>
        <w:gridCol w:w="146"/>
        <w:gridCol w:w="571"/>
        <w:gridCol w:w="146"/>
        <w:gridCol w:w="331"/>
        <w:gridCol w:w="146"/>
        <w:gridCol w:w="211"/>
        <w:gridCol w:w="721"/>
        <w:gridCol w:w="146"/>
        <w:gridCol w:w="146"/>
        <w:gridCol w:w="146"/>
        <w:gridCol w:w="571"/>
        <w:gridCol w:w="146"/>
        <w:gridCol w:w="37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5027"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the first quarter of fiscal 2027 were $1.48 billion, compared to $1.33 billion in the first quarter of fiscal 2026. The $151.8 million increase was attributable to a $90.4 million, or 8.0%, increase in Retail segment net sales, a $42.9 million, or 34.5%, increase in Subscription segment net sales and an $18.5 million, or 24.8%, increase in Wholesale segment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our Retail segment net sales during the first quarter of fiscal 2027 was due to an increase of $61.7 million, or 5.6%, in Retail segment comparable net sales and an increase of $28.7 million in non-comparable net sales. Retail segment comparable net sales increased 9.8% at FP Group, 9.3% at Urban Outfitters and 1.9% at Anthropologie. Retail segment comparable net sales increased in both Europe and North America. The overall increase in Retail segment comparable net sales was driven by high single-digit positive growth in digital channel net sales and mid single-digit positive growth in retail store net sales. The digital channel comparable net sales increase was driven by increases in sessions and average order value, while conversion rate and units per transaction decreased. Comparable store net sales increased as a result of higher store traffic and average unit retail, while transactions were flat and conversion rate and units per transaction decreased. The increase in non-comparable net sales during the first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quarter of fiscal 2027 was primarily due to the impact of the 59 net new Company-owned stores opened since the prior comparable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Subscription segment net sales was primarily driven by a 33.3% increase in the average number of active subscribers in the first quarter of fiscal 2027 as compared to the first quarter of fiscal 2026. The increase in Wholesale segment net sales in the first quarter of fiscal 2027 was driven by an $18.3 million, or 26.2%, increase in FP Group wholesale net sales due to an increase in net sales to specialty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percentage for the first quarter of fiscal 2027 decreased by 16 basis points to 36.6% of net sales compared to 36.8% of net sales in the first quarter of fiscal 2026. Gross profit increased to $542.6 million in the first quarter of fiscal 2027 from $489.1 million in the first quarter of fiscal 2026. The decrease in gross profit rate was due to a non-recurring gain of $4.8 million, or 36 basis points, recorded in the prior year quarter not repeated in the current year quarter. This was partially offset by a 20 basis point improvement in the underlying gross profit rate primarily due to improved Retail segment markdowns driven by lower markdowns at FP Group and Urban Outfitters, partially reduced by deleverage in initial merchandise costs due to tariffs. The increase in gross profit dollars was due to higher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inventory at April 30, 2026, as compared to April 30, 2025, increased by $63.1 million, or 9.5%, to $726.9 million. Total Retail segment inventory increased 10.6% and Retail segment comparable inventory increased 10.0%. Wholesale segment inventory decreased 1.2%. The increase in Retail segment inventory was due to the increase in net sales as well as early receipts to reduce the potential risk of shipping delays due to the Middle East conflict.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expenses increased by $42.0 million, or 11.7%, in the first quarter of fiscal 2027 compared to the first quarter of fiscal 2026. Selling, general and administrative expenses deleveraged 5 basis points as a percentage of net sales in the first quarter of fiscal 2027 to 27.2% compared to the first quarter of fiscal 2026. The deleverage in selling, general and administrative expenses as a percentage of net sales includes a discrete benefit of $6.9 million, or 47 basis points, in the current year quarter due to the reversal of a litigation accrual, offset by 52 basis points of deleverage primarily related to marketing expenses to support customer growth and increased sales in the Retail and Subscription segments, along with increased technology investments to support AI initiatives. The dollar growth in selling, general and administrative expenses was primarily due to increased store payroll expenses to support the growth in Retail segment store net sales, as well as increased marketing expenses to support customer growth and increased net sales in the Retail and Subscription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from operations was 9.4% of net sales, or $139.7 million, for the first quarter of fiscal 2027 compared to 9.6% of net sales, or $128.2 million, for the first quarter of fiscal 2026. The increase in operating income dollars was driven by the increase in gross profit dollars. The decrease in operating income rate was driven by the deleverage in selling, general and administrative expenses.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effective tax rate for the first quarter of fiscal 2027 was 20.7%, compared to 21.4% in the first quarter of fiscal 2026. The decrease in the effective tax rate for the first quarter of fiscal 2027 was primarily attributable to the favorable impact of equity activity in the current year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certain balance sheet and cash flow data for the periods indicated. These tables should be read in conjunction with the discussion that follows:</w:t>
      </w:r>
    </w:p>
    <w:p>
      <w:pPr>
        <w:pStyle w:val="TextBody"/>
        <w:bidi w:val="0"/>
        <w:spacing w:before="120" w:after="283"/>
        <w:jc w:val="left"/>
        <w:rPr/>
      </w:pPr>
      <w:r>
        <w:rPr/>
        <w:t> </w:t>
      </w:r>
    </w:p>
    <w:tbl>
      <w:tblPr>
        <w:tblW w:w="7541" w:type="dxa"/>
        <w:jc w:val="left"/>
        <w:tblInd w:w="0" w:type="dxa"/>
        <w:tblLayout w:type="fixed"/>
        <w:tblCellMar>
          <w:top w:w="28" w:type="dxa"/>
          <w:left w:w="28" w:type="dxa"/>
          <w:bottom w:w="28" w:type="dxa"/>
          <w:right w:w="28" w:type="dxa"/>
        </w:tblCellMar>
      </w:tblPr>
      <w:tblGrid>
        <w:gridCol w:w="4066"/>
        <w:gridCol w:w="146"/>
        <w:gridCol w:w="211"/>
        <w:gridCol w:w="571"/>
        <w:gridCol w:w="146"/>
        <w:gridCol w:w="146"/>
        <w:gridCol w:w="224"/>
        <w:gridCol w:w="766"/>
        <w:gridCol w:w="146"/>
        <w:gridCol w:w="146"/>
        <w:gridCol w:w="211"/>
        <w:gridCol w:w="57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19"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6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in working capital as of April 30, 2026, as compared to January 31, 2026, was due to a decrease in cash, cash equivalents and current marketable securities resulting from the repurchases of our common shares under our share repurchase program in the first quarter of fiscal 2027, partially offset by the timing of disbursements and an increase in inventory. The increase in working capital as of April 30, 2026, as compared to April 30, 2025, was primarily due to an increase in inventory and the timing of disbursements, partially offset by a decrease in cash, cash equivalents and current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last two years, we have satisfied our cash requirements primarily through our cash flow from operating activities and through the sales and maturities of marketable securities. Our primary uses of cash have been to fund business operations, purchase inventory and rental product, repurchase our common shares, expand and improve our distribution network and open new stores.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major source of cash from operations was merchandise sales and our primary outflow of cash from operations was for the payment of operational costs. The decrease in cash provided by operating activities in the first three months of fiscal 2027 compared to the first three months of fiscal 2026 was primarily due to the timing of disbursements.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in the first three months of fiscal 2027 and fiscal 2026 primarily related to the net sales and maturities of marketable securities which were primarily used to fund the repurchases of our common shares under our share repurchase program, partially offset by the purchases of property and equipment. Cash paid for property and equipment in the first three months of fiscal 2027 was $193.2 million, which was primarily used to expand and improve our distribution network including our purchase of the Nuuly fulfillment center in Raymore, Missouri in March 2026 that we previously leased. Cash paid for property and equipment in the first three months of fiscal 2026 was $46.2 million, which was primarily used to expand our store base.</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in the first three months of fiscal 2027 and fiscal 2026 primarily related to repurchases of our common shares under our share repurchase program and from employees to meet payroll tax withholding requirements on vested share-based awards.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5, “Debt,” of the Notes to our Condensed Consolidated Financial Statements included in this Quarterly Report on Form 10-Q for additional information regarding the Company’s debt.</w:t>
      </w:r>
    </w:p>
    <w:p>
      <w:pPr>
        <w:pStyle w:val="TextBody"/>
        <w:bidi w:val="0"/>
        <w:spacing w:before="360" w:after="283"/>
        <w:jc w:val="left"/>
        <w:rPr>
          <w:rFonts w:ascii="Times New Roman" w:hAnsi="Times New Roman"/>
          <w:sz w:val="20"/>
        </w:rPr>
      </w:pPr>
      <w:r>
        <w:rPr>
          <w:rFonts w:ascii="Times New Roman" w:hAnsi="Times New Roman"/>
          <w:i/>
          <w:color w:val="000000"/>
          <w:sz w:val="20"/>
        </w:rPr>
        <w:t>Capital and Operating Expenditures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fiscal 2027, we plan to open approximately 54 new Company-owned retail locations, expand or relocate certain existing retail locations, expand our fulfillment center network, invest in logistics capabilities, expand our home office to support our growing business, invest in new products, markets and brands, purchase inventory and rental product for our operating segments at levels appropriate to maintain our planned sales volumes, upgrade our systems, improve and expand our digital capabilities, invest in omni-channel marketing at appropriate levels and repurchase our common shares. We believe that our new brand initiatives, new store openings, merchandise expansion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programs, international growth opportunities and our marketing, social media, website and mobile initiatives are significant contributors to our sales growth and plan to continue our investment in these initiatives for all brands. We anticipate our capital expenditures during fiscal 2027 to be approximately $475 million. All fiscal 2027 capital expenditures are expected to be financed by cash flow from operating activities and existing cash, cash equivalents and marketable securities. We believe that our new store investments generally have the potential to generate positive cash flow within a year. We may also enter into one or more acquisitions or transactions related to the expansion of our brand offerings, including additional franchise agreements. We believe that our existing cash, cash equivalents and marketable securities, availability under our current credit facility and future cash flows provided by operations will be sufficient to fund these initiatives.</w:t>
      </w:r>
    </w:p>
    <w:p>
      <w:pPr>
        <w:pStyle w:val="TextBody"/>
        <w:bidi w:val="0"/>
        <w:spacing w:before="360" w:after="283"/>
        <w:jc w:val="left"/>
        <w:rPr>
          <w:rFonts w:ascii="Times New Roman" w:hAnsi="Times New Roman"/>
          <w:sz w:val="20"/>
        </w:rPr>
      </w:pPr>
      <w:r>
        <w:rPr>
          <w:rFonts w:ascii="Times New Roman" w:hAnsi="Times New Roman"/>
          <w:i/>
          <w:color w:val="000000"/>
          <w:sz w:val="20"/>
        </w:rPr>
        <w:t>Share Repurchases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8, “Shareholders’ Equity,” of the Notes to our Condensed Consolidated Financial Statements included in this Quarterly Report on Form 10-Q for additional information regarding the Company’s share repurchases.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 “Basis of Presentation,” </w:t>
      </w:r>
      <w:r>
        <w:rPr>
          <w:rFonts w:ascii="Times New Roman" w:hAnsi="Times New Roman"/>
          <w:i/>
          <w:color w:val="000000"/>
          <w:sz w:val="20"/>
        </w:rPr>
        <w:t>Recent Accounting Pronouncements</w:t>
      </w:r>
      <w:r>
        <w:rPr>
          <w:rFonts w:ascii="Times New Roman" w:hAnsi="Times New Roman"/>
          <w:color w:val="000000"/>
          <w:sz w:val="20"/>
        </w:rPr>
        <w:t xml:space="preserve">, of the Notes to our Condensed Consolidated Financial Statements included in this Quarterly Report on Form 10-Q for a description of recent accounting pronouncements. </w:t>
      </w:r>
    </w:p>
    <w:p>
      <w:pPr>
        <w:pStyle w:val="TextBody"/>
        <w:bidi w:val="0"/>
        <w:spacing w:before="360" w:after="283"/>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There have been no material changes to our quantitative or qualitative disclosures found in Item 7A, “Quantitative and Qualitative Disclosures About Market Risk,” in the Company’s Annual Report on Form 10-K for the fiscal year ended January 31, 2026.</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designed to ensure that information required to be disclosed by us in our Securities Exchange Act of 1934 reports is recorded, processed, summarized and reported on a timely basis and that such information is accumulated and communicated to management, including the Principal Executive Officer and the Principal Financial Officer, as appropriate, to allow timely decisions regarding the required disclosure. As of the end of the period covered by this Quarterly Report on Form 10-Q, an evaluation was performed under the supervision and with the participation of our management, including the Principal Executive Officer and the Principal Financial Officer, of the effectiveness of the design and operation of these disclosure controls and procedures. Based on that evaluation, the Principal Executive Officer and the Principal Financial Officer concluded that our disclosure controls and procedures were effective.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controls over financial reporting during the three months ended April 30, 2026,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party to various legal proceedings arising from normal business activities. Management believes that the ultimate resolution of these matters will not have a material adverse effect on our financial position, results of operations or cash flows. </w:t>
      </w:r>
    </w:p>
    <w:p>
      <w:pPr>
        <w:pStyle w:val="TextBody"/>
        <w:bidi w:val="0"/>
        <w:spacing w:before="36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in our risk factors since January 31, 2026. Please refer to our Annual Report on Form 10-K for the fiscal year ended January 31, 2026, filed with the SEC on April 1, 2026, for our risk factors.</w:t>
      </w:r>
    </w:p>
    <w:p>
      <w:pPr>
        <w:pStyle w:val="TextBody"/>
        <w:bidi w:val="0"/>
        <w:spacing w:before="360" w:after="283"/>
        <w:jc w:val="both"/>
        <w:rPr>
          <w:rFonts w:ascii="Times New Roman" w:hAnsi="Times New Roman"/>
          <w:b/>
          <w:color w:val="000000"/>
          <w:sz w:val="20"/>
        </w:rPr>
      </w:pPr>
      <w:bookmarkStart w:id="17" w:name="share_repos"/>
      <w:bookmarkEnd w:id="17"/>
      <w:r>
        <w:rPr>
          <w:rFonts w:ascii="Times New Roman" w:hAnsi="Times New Roman"/>
          <w:b/>
          <w:color w:val="000000"/>
          <w:sz w:val="20"/>
        </w:rPr>
        <w:t>Item 2. Unregistered Sales of Equity Securities and the 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 summary of the repurchase activity under the Company's share repurchase program, excluding excise tax, for the quarter ended April 30, 2026, is as follows:</w:t>
      </w:r>
    </w:p>
    <w:tbl>
      <w:tblPr>
        <w:tblW w:w="10205" w:type="dxa"/>
        <w:jc w:val="left"/>
        <w:tblInd w:w="0" w:type="dxa"/>
        <w:tblLayout w:type="fixed"/>
        <w:tblCellMar>
          <w:top w:w="28" w:type="dxa"/>
          <w:left w:w="28" w:type="dxa"/>
          <w:bottom w:w="28" w:type="dxa"/>
          <w:right w:w="28" w:type="dxa"/>
        </w:tblCellMar>
      </w:tblPr>
      <w:tblGrid>
        <w:gridCol w:w="3472"/>
        <w:gridCol w:w="146"/>
        <w:gridCol w:w="228"/>
        <w:gridCol w:w="1454"/>
        <w:gridCol w:w="146"/>
        <w:gridCol w:w="146"/>
        <w:gridCol w:w="302"/>
        <w:gridCol w:w="820"/>
        <w:gridCol w:w="146"/>
        <w:gridCol w:w="146"/>
        <w:gridCol w:w="207"/>
        <w:gridCol w:w="1324"/>
        <w:gridCol w:w="146"/>
        <w:gridCol w:w="146"/>
        <w:gridCol w:w="146"/>
        <w:gridCol w:w="1036"/>
        <w:gridCol w:w="194"/>
      </w:tblGrid>
      <w:tr>
        <w:trPr/>
        <w:tc>
          <w:tcPr>
            <w:tcW w:w="3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w:t>
              <w:br/>
              <w:t xml:space="preserve">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 Purchased</w:t>
              <w:br/>
              <w:t>as Part of</w:t>
              <w:br/>
              <w:t>Publicly</w:t>
              <w:br/>
              <w:t>Announced</w:t>
              <w:br/>
              <w:t>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w:t>
              <w:br/>
              <w:t>Number of</w:t>
              <w:br/>
              <w:t>Shares that</w:t>
              <w:br/>
              <w:t>May Yet</w:t>
              <w:br/>
              <w:t>Be Purchased</w:t>
              <w:br/>
              <w:t>Under the</w:t>
              <w:br/>
              <w:t>Plans or</w:t>
              <w:br/>
              <w:t xml:space="preserve">Programs </w:t>
            </w:r>
            <w:r>
              <w:rPr>
                <w:rFonts w:ascii="Times New Roman" w:hAnsi="Times New Roman"/>
                <w:b/>
                <w:color w:val="000000"/>
                <w:sz w:val="11"/>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through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14,648,609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through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10,009,401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10,009,401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Fiscal 2027 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10,009,401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shares repurchased under the share repurchase program, for the quarter ended April 30, 2026, the Company acquired and subsequently retired 330,817 common shares from employees to meet payroll tax withholding requirements on vested share-based awards. These shares do not reduce the number of shares that may yet be purchased under our publicly announced share repurchase program.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On June 4, 2019, the Company's Board of Directors authorized the repurchase of 20,000,000 shares under a share repurchase program. See Note 8, "Shareholders' Equity," of the Notes to our Condensed Consolidated Financial Statements included in this Quarterly Report on Form 10-Q for additional information regarding the Company's share repurchases.</w:t>
      </w:r>
    </w:p>
    <w:p>
      <w:pPr>
        <w:pStyle w:val="TextBody"/>
        <w:bidi w:val="0"/>
        <w:spacing w:before="360" w:after="283"/>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17, 2026, Harry S. Cherken, Jr., a director of the Company, adopted a Rule 10b5-1 trading arrangement for the sale of up to 38,820 common shares of the Company commencing July 17, 2026 and continuing through November 25, 2026, that was intended to satisfy the affirmative defense of Rule 10b5-1(c).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on March 2, 2026, Richard A. Hayne, Chief Executive Officer and Chairman of the Board of Directors, terminated a Rule 10b5-1 trading arrangement that was previously adopted on July 10, 2025. The trading arrangement was for the sale of up to 800,000 common shares of the Company commencing October 10, 2025 and continuing through October 9, 2026 that was intended to satisfy the affirmative defense of Rule 10b5-1(c).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on March 2, 2026, a trust of which Margaret A. Hayne, Co-President and Chief Creative Officer, and a director of the Company, is one of three trustees, terminated a Rule 10b5-1 trading arrangement that was previously adopted on July 10, 2025. The trading arrangement was for the sale of up to 700,000 common shares of the Company commencing October 10, 2025 and continuing through October 9, 2026 that was intended to satisfy the affirmative defense of Rule 10b5-1(c).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as described above, during the fiscal quarter ended April 30, 2026, no other director or officer of the Company adopted or terminated a "Rule 10b5-1 trading arrangement" or a "non-Rule 10b5-1 trading arrangement" as each term is defined in Item 408(a) of Regulation S-K.</w:t>
      </w:r>
    </w:p>
    <w:p>
      <w:pPr>
        <w:pStyle w:val="TextBody"/>
        <w:bidi w:val="0"/>
        <w:spacing w:before="360" w:after="283"/>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0"/>
        <w:gridCol w:w="290"/>
        <w:gridCol w:w="9125"/>
      </w:tblGrid>
      <w:tr>
        <w:trPr/>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125" w:type="dxa"/>
            <w:tcBorders/>
            <w:shd w:fill="FFFFFF" w:val="clear"/>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Number</w:t>
            </w:r>
          </w:p>
        </w:tc>
        <w:tc>
          <w:tcPr>
            <w:tcW w:w="2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2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u w:val="single"/>
              </w:rPr>
            </w:pPr>
            <w:r>
              <w:rPr>
                <w:rFonts w:ascii="Times New Roman" w:hAnsi="Times New Roman"/>
                <w:b/>
                <w:color w:val="000000"/>
                <w:sz w:val="16"/>
                <w:u w:val="single"/>
              </w:rPr>
              <w:t>Description</w:t>
            </w:r>
          </w:p>
          <w:p>
            <w:pPr>
              <w:pStyle w:val="TableContents"/>
              <w:bidi w:val="0"/>
              <w:spacing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2">
              <w:r>
                <w:rPr>
                  <w:rStyle w:val="InternetLink"/>
                  <w:rFonts w:ascii="Times New Roman" w:hAnsi="Times New Roman"/>
                  <w:color w:val="0000FF"/>
                  <w:sz w:val="20"/>
                  <w:u w:val="single"/>
                </w:rPr>
                <w:t>Amended and Restated Articles of Incorporation are incorporated by reference to Exhibit 3.1 of the Company’s Quarterly Report on Form 10-Q (file no. 000-22754) filed on September 9, 2004.</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3">
              <w:r>
                <w:rPr>
                  <w:rStyle w:val="InternetLink"/>
                  <w:rFonts w:ascii="Times New Roman" w:hAnsi="Times New Roman"/>
                  <w:color w:val="0000FF"/>
                  <w:sz w:val="20"/>
                  <w:u w:val="single"/>
                </w:rPr>
                <w:t>Amendment No. 1 to Amended and Restated Articles of Incorporation is incorporated by reference to Exhibit 3.2 of the Company’s Quarterly Report on Form 10-Q (file no. 000-22754) filed on September 9, 2004.</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3.3</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
              <w:r>
                <w:rPr>
                  <w:rStyle w:val="InternetLink"/>
                  <w:rFonts w:ascii="Times New Roman" w:hAnsi="Times New Roman"/>
                  <w:color w:val="0000FF"/>
                  <w:sz w:val="20"/>
                  <w:u w:val="single"/>
                </w:rPr>
                <w:t>Amendment No. 2 to Amended and Restated Articles of Incorporation is incorporated by reference to Exhibit 3.1 of the Company’s Current Report on Form 8-K (file no. 000-22754) filed on May 31, 2013.</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5">
              <w:r>
                <w:rPr>
                  <w:rStyle w:val="InternetLink"/>
                  <w:rFonts w:ascii="Times New Roman" w:hAnsi="Times New Roman"/>
                  <w:color w:val="0000FF"/>
                  <w:sz w:val="20"/>
                  <w:u w:val="single"/>
                </w:rPr>
                <w:t>Amended and Restated By-laws are incorporated by reference to Exhibit 3.1 of the Company’s Current Report on Form 8-K (file no. 000-22754) filed on March 30, 2020.</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color w:val="000000"/>
              </w:rPr>
            </w:pPr>
            <w:r>
              <w:rPr>
                <w:color w:val="000000"/>
              </w:rPr>
              <w:t> </w:t>
            </w: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6">
              <w:r>
                <w:rPr>
                  <w:rStyle w:val="InternetLink"/>
                  <w:rFonts w:ascii="Times New Roman" w:hAnsi="Times New Roman"/>
                  <w:color w:val="0000FF"/>
                  <w:sz w:val="20"/>
                  <w:u w:val="single"/>
                </w:rPr>
                <w:t>Fifth Amendment to Credit Agreement dated May 19, 2026, by and among Urban Outfitters, Inc., its domestic subsidiaries, JPMorgan Chase Bank, N.A. as administrative agent, J.P. Morgan Securities and Wells Fargo Bank, National Association, as joint lead arrangers and co-book managers, and certain other lenders party thereto is incorporated by reference to Exhibit 10.1 of the Company's Current Report on Form 8-K (file no. 000-22754) filed on May 26, 2026.</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1_1.htm">
              <w:r>
                <w:rPr>
                  <w:rStyle w:val="InternetLink"/>
                  <w:rFonts w:ascii="Times New Roman" w:hAnsi="Times New Roman"/>
                  <w:color w:val="0000FF"/>
                  <w:sz w:val="20"/>
                  <w:u w:val="single"/>
                </w:rPr>
                <w:t>Rule 13a-14(a)/15d-14(a) Certification of the Principal Executive Officer.</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1_2.htm">
              <w:r>
                <w:rPr>
                  <w:rStyle w:val="InternetLink"/>
                  <w:rFonts w:ascii="Times New Roman" w:hAnsi="Times New Roman"/>
                  <w:color w:val="0000FF"/>
                  <w:sz w:val="20"/>
                  <w:u w:val="single"/>
                </w:rPr>
                <w:t>Rule 13a-14(a)/15d-14(a) Certification of the Principal Financial Officer.</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2_1.htm">
              <w:r>
                <w:rPr>
                  <w:rStyle w:val="InternetLink"/>
                  <w:rFonts w:ascii="Times New Roman" w:hAnsi="Times New Roman"/>
                  <w:color w:val="0000FF"/>
                  <w:sz w:val="20"/>
                  <w:u w:val="single"/>
                </w:rPr>
                <w:t>Section 1350 Certification of the Principal Executive Officer.</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2_2.htm">
              <w:r>
                <w:rPr>
                  <w:rStyle w:val="InternetLink"/>
                  <w:rFonts w:ascii="Times New Roman" w:hAnsi="Times New Roman"/>
                  <w:color w:val="0000FF"/>
                  <w:sz w:val="20"/>
                  <w:u w:val="single"/>
                </w:rPr>
                <w:t>Section 1350 Certification of the Principal Financial Officer.</w:t>
              </w:r>
            </w:hyperlink>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Inline XBRL Instance Document.</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25"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both"/>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Attached as Exhibits 101 to this report are the following financial statements from the Company’s Quarterly Report on Form 10-Q for the three months ended April 30, 2026, filed with the Securities and Exchange Commission on June 9, 2026, formatted in inline XBRL (eXtensible Business Reporting Language): (i) the Condensed Consolidated Balance Sheets; (ii) the Condensed Consolidated Statements of Income; (iii) the Condensed Consolidated Statements of Comprehensive Income; (iv) the Condensed Consolidated Statements of Shareholders’ Equity; (v) the Condensed Consolidated Statements of Cash Flows and (vi) the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532" w:type="dxa"/>
        <w:jc w:val="left"/>
        <w:tblInd w:w="0" w:type="dxa"/>
        <w:tblLayout w:type="fixed"/>
        <w:tblCellMar>
          <w:top w:w="28" w:type="dxa"/>
          <w:left w:w="28" w:type="dxa"/>
          <w:bottom w:w="28" w:type="dxa"/>
          <w:right w:w="28" w:type="dxa"/>
        </w:tblCellMar>
      </w:tblPr>
      <w:tblGrid>
        <w:gridCol w:w="1636"/>
        <w:gridCol w:w="406"/>
        <w:gridCol w:w="177"/>
        <w:gridCol w:w="2313"/>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Richard A. Hayne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Executive Officer</w:t>
            </w:r>
          </w:p>
        </w:tc>
      </w:tr>
    </w:tbl>
    <w:tbl>
      <w:tblPr>
        <w:tblW w:w="4544" w:type="dxa"/>
        <w:jc w:val="left"/>
        <w:tblInd w:w="0" w:type="dxa"/>
        <w:tblLayout w:type="fixed"/>
        <w:tblCellMar>
          <w:top w:w="28" w:type="dxa"/>
          <w:left w:w="28" w:type="dxa"/>
          <w:bottom w:w="28" w:type="dxa"/>
          <w:right w:w="28" w:type="dxa"/>
        </w:tblCellMar>
      </w:tblPr>
      <w:tblGrid>
        <w:gridCol w:w="1636"/>
        <w:gridCol w:w="406"/>
        <w:gridCol w:w="146"/>
        <w:gridCol w:w="235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 xml:space="preserve">ELANIE </w:t>
            </w:r>
            <w:r>
              <w:rPr>
                <w:rFonts w:ascii="Times New Roman" w:hAnsi="Times New Roman"/>
                <w:color w:val="000000"/>
                <w:sz w:val="20"/>
              </w:rPr>
              <w:t>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Melanie Marein-Efron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1" w:name="urbn-ex31_1.htm"/>
      <w:bookmarkStart w:id="22" w:name="ksurbn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A. Hayne,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Urban Outfitters,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439" w:type="dxa"/>
        <w:jc w:val="left"/>
        <w:tblInd w:w="0" w:type="dxa"/>
        <w:tblLayout w:type="fixed"/>
        <w:tblCellMar>
          <w:top w:w="28" w:type="dxa"/>
          <w:left w:w="28" w:type="dxa"/>
          <w:bottom w:w="28" w:type="dxa"/>
          <w:right w:w="28" w:type="dxa"/>
        </w:tblCellMar>
      </w:tblPr>
      <w:tblGrid>
        <w:gridCol w:w="1636"/>
        <w:gridCol w:w="406"/>
        <w:gridCol w:w="146"/>
        <w:gridCol w:w="225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Richard A. Hayne</w:t>
            </w:r>
          </w:p>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urbn-ex31_2.htm"/>
      <w:bookmarkStart w:id="24" w:name="ksurbn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Melanie Marein-Efron,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Urban Outfitters,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529" w:type="dxa"/>
        <w:jc w:val="left"/>
        <w:tblInd w:w="0" w:type="dxa"/>
        <w:tblLayout w:type="fixed"/>
        <w:tblCellMar>
          <w:top w:w="28" w:type="dxa"/>
          <w:left w:w="28" w:type="dxa"/>
          <w:bottom w:w="28" w:type="dxa"/>
          <w:right w:w="28" w:type="dxa"/>
        </w:tblCellMar>
      </w:tblPr>
      <w:tblGrid>
        <w:gridCol w:w="1636"/>
        <w:gridCol w:w="406"/>
        <w:gridCol w:w="146"/>
        <w:gridCol w:w="234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ELANIE</w:t>
            </w:r>
            <w:r>
              <w:rPr>
                <w:rFonts w:ascii="Times New Roman" w:hAnsi="Times New Roman"/>
                <w:color w:val="000000"/>
                <w:sz w:val="20"/>
              </w:rPr>
              <w:t> 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Melanie Marein-Efron</w:t>
            </w:r>
          </w:p>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urbn-ex32_1.htm"/>
      <w:bookmarkStart w:id="26" w:name="ksurbn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A. Hayne, hereby certify, pursuant to 18 U.S.C. Section 1350, as adopted pursuant to Section 906 of the Sarbanes-Oxley Act of 2002, that (1) the Form 10-Q of Urban Outfitters, Inc. (the “Company”) for the three month period ended April 30, 2026,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 </w:t>
      </w:r>
    </w:p>
    <w:tbl>
      <w:tblPr>
        <w:tblW w:w="4402" w:type="dxa"/>
        <w:jc w:val="left"/>
        <w:tblInd w:w="0" w:type="dxa"/>
        <w:tblLayout w:type="fixed"/>
        <w:tblCellMar>
          <w:top w:w="28" w:type="dxa"/>
          <w:left w:w="28" w:type="dxa"/>
          <w:bottom w:w="28" w:type="dxa"/>
          <w:right w:w="28" w:type="dxa"/>
        </w:tblCellMar>
      </w:tblPr>
      <w:tblGrid>
        <w:gridCol w:w="1636"/>
        <w:gridCol w:w="109"/>
        <w:gridCol w:w="406"/>
        <w:gridCol w:w="22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Richard A. Hayne</w:t>
            </w:r>
          </w:p>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urbn-ex32_2.htm"/>
      <w:bookmarkStart w:id="28" w:name="ksurbnex32_2"/>
      <w:bookmarkEnd w:id="27"/>
      <w:bookmarkEnd w:id="2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Melanie Marein-Efron, hereby certify, pursuant to 18 U.S.C. Section 1350, as adopted pursuant to Section 906 of the Sarbanes-Oxley Act of 2002, that (1) the Form 10-Q of Urban Outfitters, Inc. (the “Company”) for the three month period ended April 30, 2026,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 </w:t>
      </w:r>
    </w:p>
    <w:tbl>
      <w:tblPr>
        <w:tblW w:w="4492" w:type="dxa"/>
        <w:jc w:val="left"/>
        <w:tblInd w:w="0" w:type="dxa"/>
        <w:tblLayout w:type="fixed"/>
        <w:tblCellMar>
          <w:top w:w="28" w:type="dxa"/>
          <w:left w:w="28" w:type="dxa"/>
          <w:bottom w:w="28" w:type="dxa"/>
          <w:right w:w="28" w:type="dxa"/>
        </w:tblCellMar>
      </w:tblPr>
      <w:tblGrid>
        <w:gridCol w:w="1636"/>
        <w:gridCol w:w="109"/>
        <w:gridCol w:w="406"/>
        <w:gridCol w:w="234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ELANIE</w:t>
            </w:r>
            <w:r>
              <w:rPr>
                <w:rFonts w:ascii="Times New Roman" w:hAnsi="Times New Roman"/>
                <w:color w:val="000000"/>
                <w:sz w:val="20"/>
              </w:rPr>
              <w:t> 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Melanie Marein-Efron</w:t>
            </w:r>
          </w:p>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2615/000119312504154375/dex31.htm" TargetMode="External"/><Relationship Id="rId3" Type="http://schemas.openxmlformats.org/officeDocument/2006/relationships/hyperlink" Target="https://www.sec.gov/Archives/edgar/data/912615/000119312504154375/dex32.htm" TargetMode="External"/><Relationship Id="rId4" Type="http://schemas.openxmlformats.org/officeDocument/2006/relationships/hyperlink" Target="https://www.sec.gov/Archives/edgar/data/912615/000119312513243348/d547735dex31.htm" TargetMode="External"/><Relationship Id="rId5" Type="http://schemas.openxmlformats.org/officeDocument/2006/relationships/hyperlink" Target="https://www.sec.gov/Archives/edgar/data/912615/000156459020014285/urbn-ex31_6.htm" TargetMode="External"/><Relationship Id="rId6" Type="http://schemas.openxmlformats.org/officeDocument/2006/relationships/hyperlink" Target="https://www.sec.gov/Archives/edgar/data/912615/000119312526239316/d147336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14119</Words>
  <Characters>78598</Characters>
  <CharactersWithSpaces>94633</CharactersWithSpaces>
  <Paragraphs>5881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