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5084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084445"/>
                    </a:xfrm>
                    <a:prstGeom prst="rect">
                      <a:avLst/>
                    </a:prstGeom>
                    <a:noFill/>
                  </pic:spPr>
                </pic:pic>
              </a:graphicData>
            </a:graphic>
          </wp:anchor>
        </w:drawing>
      </w:r>
    </w:p>
    <w:p>
      <w:pPr>
        <w:spacing w:after="0" w:line="1237"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ANTOIAN EDWARD N</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5000 SOUTH BROAD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URBAN OUTFITTERS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URBN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06/02/2026</w:t>
      </w:r>
    </w:p>
    <w:p>
      <w:pPr>
        <w:spacing w:after="0" w:line="20" w:lineRule="exact"/>
        <w:rPr>
          <w:sz w:val="24"/>
          <w:szCs w:val="24"/>
          <w:color w:val="auto"/>
        </w:rPr>
      </w:pPr>
      <w:r>
        <w:rPr>
          <w:sz w:val="24"/>
          <w:szCs w:val="24"/>
          <w:color w:val="auto"/>
        </w:rPr>
        <w:br w:type="column"/>
      </w: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3" w:lineRule="exact"/>
        <w:rPr>
          <w:sz w:val="24"/>
          <w:szCs w:val="24"/>
          <w:color w:val="auto"/>
        </w:rPr>
      </w:pPr>
    </w:p>
    <w:p>
      <w:pPr>
        <w:sectPr>
          <w:pgSz w:w="11900" w:h="16838" w:orient="portrait"/>
          <w:cols w:equalWidth="0" w:num="3">
            <w:col w:w="3180" w:space="720"/>
            <w:col w:w="3180" w:space="659"/>
            <w:col w:w="3341"/>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PHILADELPHIA PA</w:t>
            </w:r>
          </w:p>
        </w:tc>
        <w:tc>
          <w:tcPr>
            <w:tcW w:w="1620" w:type="dxa"/>
            <w:vAlign w:val="bottom"/>
          </w:tcPr>
          <w:p>
            <w:pPr>
              <w:jc w:val="right"/>
              <w:ind w:right="686"/>
              <w:spacing w:after="0"/>
              <w:rPr>
                <w:sz w:val="20"/>
                <w:szCs w:val="20"/>
                <w:color w:val="auto"/>
              </w:rPr>
            </w:pPr>
            <w:r>
              <w:rPr>
                <w:rFonts w:ascii="Times New Roman" w:cs="Times New Roman" w:eastAsia="Times New Roman" w:hAnsi="Times New Roman"/>
                <w:sz w:val="17"/>
                <w:szCs w:val="17"/>
                <w:color w:val="0000FF"/>
              </w:rPr>
              <w:t>19112</w:t>
            </w:r>
          </w:p>
        </w:tc>
      </w:tr>
      <w:tr>
        <w:trPr>
          <w:trHeight w:val="148"/>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20" w:type="dxa"/>
            <w:vAlign w:val="bottom"/>
          </w:tcPr>
          <w:p>
            <w:pPr>
              <w:jc w:val="right"/>
              <w:ind w:right="866"/>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4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0" w:lineRule="exact"/>
        <w:rPr>
          <w:sz w:val="24"/>
          <w:szCs w:val="24"/>
          <w:color w:val="auto"/>
        </w:rPr>
      </w:pPr>
    </w:p>
    <w:p>
      <w:pPr>
        <w:sectPr>
          <w:pgSz w:w="11900" w:h="16838" w:orient="portrait"/>
          <w:cols w:equalWidth="0" w:num="2">
            <w:col w:w="3760" w:space="14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3"/>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820"/>
              <w:spacing w:after="0" w:line="128"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8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1"/>
              </w:rPr>
              <w:t>Transaction</w:t>
            </w:r>
          </w:p>
        </w:tc>
        <w:tc>
          <w:tcPr>
            <w:tcW w:w="184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2"/>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7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60"/>
              <w:spacing w:after="0" w:line="129" w:lineRule="exact"/>
              <w:rPr>
                <w:sz w:val="20"/>
                <w:szCs w:val="20"/>
                <w:color w:val="auto"/>
              </w:rPr>
            </w:pPr>
            <w:r>
              <w:rPr>
                <w:rFonts w:ascii="Arial" w:cs="Arial" w:eastAsia="Arial" w:hAnsi="Arial"/>
                <w:sz w:val="12"/>
                <w:szCs w:val="12"/>
                <w:b w:val="1"/>
                <w:bCs w:val="1"/>
                <w:color w:val="auto"/>
              </w:rPr>
              <w:t>(A) or</w:t>
            </w:r>
          </w:p>
        </w:tc>
        <w:tc>
          <w:tcPr>
            <w:tcW w:w="520" w:type="dxa"/>
            <w:vAlign w:val="bottom"/>
            <w:vMerge w:val="restart"/>
          </w:tcPr>
          <w:p>
            <w:pPr>
              <w:jc w:val="right"/>
              <w:ind w:right="77"/>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4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040" w:type="dxa"/>
            <w:vAlign w:val="bottom"/>
          </w:tcPr>
          <w:p>
            <w:pPr>
              <w:spacing w:after="0"/>
              <w:rPr>
                <w:sz w:val="22"/>
                <w:szCs w:val="22"/>
                <w:color w:val="auto"/>
              </w:rPr>
            </w:pPr>
          </w:p>
        </w:tc>
        <w:tc>
          <w:tcPr>
            <w:tcW w:w="186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06/02/2026</w:t>
            </w:r>
          </w:p>
        </w:tc>
        <w:tc>
          <w:tcPr>
            <w:tcW w:w="5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Pr>
          <w:p>
            <w:pPr>
              <w:ind w:left="280"/>
              <w:spacing w:after="0"/>
              <w:rPr>
                <w:sz w:val="20"/>
                <w:szCs w:val="20"/>
                <w:color w:val="auto"/>
              </w:rPr>
            </w:pPr>
            <w:r>
              <w:rPr>
                <w:rFonts w:ascii="Times New Roman" w:cs="Times New Roman" w:eastAsia="Times New Roman" w:hAnsi="Times New Roman"/>
                <w:sz w:val="17"/>
                <w:szCs w:val="17"/>
                <w:color w:val="0000FF"/>
                <w:w w:val="99"/>
              </w:rPr>
              <w:t>2,100</w:t>
            </w:r>
          </w:p>
        </w:tc>
        <w:tc>
          <w:tcPr>
            <w:tcW w:w="6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32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64,178</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5"/>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9"/>
          </w:tcPr>
          <w:p>
            <w:pPr>
              <w:jc w:val="right"/>
              <w:ind w:right="7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06/02/2026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500" w:type="dxa"/>
            <w:vAlign w:val="bottom"/>
          </w:tcPr>
          <w:p>
            <w:pPr>
              <w:spacing w:after="0"/>
              <w:rPr>
                <w:sz w:val="12"/>
                <w:szCs w:val="12"/>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2,100</w:t>
            </w: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(2)</w:t>
            </w: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2,100</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ind w:right="61"/>
              <w:spacing w:after="0"/>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4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Director</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vMerge w:val="restart"/>
          </w:tcPr>
          <w:p>
            <w:pPr>
              <w:jc w:val="right"/>
              <w:ind w:right="140"/>
              <w:spacing w:after="0"/>
              <w:rPr>
                <w:sz w:val="20"/>
                <w:szCs w:val="20"/>
                <w:color w:val="auto"/>
              </w:rPr>
            </w:pPr>
            <w:r>
              <w:rPr>
                <w:rFonts w:ascii="Times New Roman" w:cs="Times New Roman" w:eastAsia="Times New Roman" w:hAnsi="Times New Roman"/>
                <w:sz w:val="13"/>
                <w:szCs w:val="13"/>
                <w:color w:val="0000FF"/>
              </w:rPr>
              <w:t>06/03/2026</w:t>
            </w:r>
          </w:p>
        </w:tc>
        <w:tc>
          <w:tcPr>
            <w:tcW w:w="1120" w:type="dxa"/>
            <w:vAlign w:val="bottom"/>
          </w:tcPr>
          <w:p>
            <w:pPr>
              <w:spacing w:after="0"/>
              <w:rPr>
                <w:sz w:val="12"/>
                <w:szCs w:val="12"/>
                <w:color w:val="auto"/>
              </w:rPr>
            </w:pPr>
          </w:p>
        </w:tc>
        <w:tc>
          <w:tcPr>
            <w:tcW w:w="7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2,100</w:t>
            </w:r>
          </w:p>
        </w:tc>
        <w:tc>
          <w:tcPr>
            <w:tcW w:w="480" w:type="dxa"/>
            <w:vAlign w:val="bottom"/>
          </w:tcPr>
          <w:p>
            <w:pPr>
              <w:spacing w:after="0"/>
              <w:rPr>
                <w:sz w:val="12"/>
                <w:szCs w:val="12"/>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tcPr>
          <w:p>
            <w:pPr>
              <w:ind w:left="4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2,100</w:t>
            </w:r>
          </w:p>
        </w:tc>
        <w:tc>
          <w:tcPr>
            <w:tcW w:w="76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2,100</w:t>
            </w:r>
          </w:p>
        </w:tc>
        <w:tc>
          <w:tcPr>
            <w:tcW w:w="30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4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of the issuer's common shares.</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earlier of June 3, 2026 or the date preceding the day of the 2026 annual meeting of the issuer's shareholders, provided that the reporting person is a director of the issuer through such date.</w:t>
      </w:r>
    </w:p>
    <w:p>
      <w:pPr>
        <w:spacing w:after="0" w:line="43" w:lineRule="exact"/>
        <w:rPr>
          <w:rFonts w:ascii="Times New Roman" w:cs="Times New Roman" w:eastAsia="Times New Roman" w:hAnsi="Times New Roman"/>
          <w:sz w:val="13"/>
          <w:szCs w:val="13"/>
          <w:color w:val="008000"/>
        </w:rPr>
      </w:pPr>
    </w:p>
    <w:p>
      <w:pPr>
        <w:ind w:left="160" w:hanging="119"/>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on the earlier of June 3, 2027 or the date preceding the day of the 2027 annual meeting of the issuer's shareholders, provided that the reporting person is a director of the issuer through such date.</w:t>
      </w:r>
    </w:p>
    <w:p>
      <w:pPr>
        <w:spacing w:after="0" w:line="53"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6"/>
              </w:rPr>
              <w:t>/s/ Edward N. Antoian</w:t>
            </w:r>
          </w:p>
        </w:tc>
        <w:tc>
          <w:tcPr>
            <w:tcW w:w="700" w:type="dxa"/>
            <w:vAlign w:val="bottom"/>
          </w:tcPr>
          <w:p>
            <w:pPr>
              <w:spacing w:after="0"/>
              <w:rPr>
                <w:sz w:val="17"/>
                <w:szCs w:val="17"/>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w w:val="95"/>
              </w:rPr>
              <w:t>06/04/2026</w:t>
            </w: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1"/>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21848" TargetMode="External"/><Relationship Id="rId14" Type="http://schemas.openxmlformats.org/officeDocument/2006/relationships/hyperlink" Target="http://www.sec.gov/cgi-bin/browse-edgar?action=getcompany&amp;CIK=0000912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2026-06-04T15:38:58Z</dcterms:created>
  <dcterms:modified xsi:type="dcterms:W3CDTF">2026-06-04T15:38:58Z</dcterms:modified>
</cp:coreProperties>
</file>