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35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218440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71"/>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259080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22"/>
          <w:szCs w:val="22"/>
          <w:b w:val="1"/>
          <w:bCs w:val="1"/>
          <w:color w:val="auto"/>
        </w:rPr>
        <w:t>ANNUAL REPORT</w:t>
      </w:r>
    </w:p>
    <w:p>
      <w:pPr>
        <w:spacing w:after="0" w:line="8"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22"/>
          <w:szCs w:val="22"/>
          <w:b w:val="1"/>
          <w:bCs w:val="1"/>
          <w:color w:val="auto"/>
        </w:rPr>
        <w:t>PURSUANT TO SECTION 15(d) OF THE</w:t>
      </w:r>
    </w:p>
    <w:p>
      <w:pPr>
        <w:jc w:val="center"/>
        <w:ind w:right="-391"/>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2" w:lineRule="exact"/>
        <w:rPr>
          <w:sz w:val="24"/>
          <w:szCs w:val="24"/>
          <w:color w:val="auto"/>
        </w:rPr>
      </w:pPr>
    </w:p>
    <w:p>
      <w:pPr>
        <w:ind w:left="432" w:hanging="432"/>
        <w:spacing w:after="0"/>
        <w:tabs>
          <w:tab w:leader="none" w:pos="43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ind w:right="-451"/>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432" w:hanging="432"/>
        <w:spacing w:after="0"/>
        <w:tabs>
          <w:tab w:leader="none" w:pos="432"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012"/>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__________to __________</w:t>
      </w:r>
    </w:p>
    <w:p>
      <w:pPr>
        <w:spacing w:after="0" w:line="225"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Commission file number 000-22754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251460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address of the plan, if different from that of the issuer named below:</w:t>
      </w:r>
    </w:p>
    <w:p>
      <w:pPr>
        <w:spacing w:after="0" w:line="221" w:lineRule="exact"/>
        <w:rPr>
          <w:rFonts w:ascii="Times New Roman" w:cs="Times New Roman" w:eastAsia="Times New Roman" w:hAnsi="Times New Roman"/>
          <w:sz w:val="18"/>
          <w:szCs w:val="18"/>
          <w:color w:val="auto"/>
        </w:rPr>
      </w:pPr>
    </w:p>
    <w:p>
      <w:pPr>
        <w:ind w:left="39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Urban Outfitters, Inc. 401(k) Savings Plan</w:t>
      </w:r>
    </w:p>
    <w:p>
      <w:pPr>
        <w:spacing w:after="0" w:line="22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31"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5000 South Broad Street</w:t>
      </w:r>
    </w:p>
    <w:p>
      <w:pPr>
        <w:spacing w:after="0" w:line="9"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Philadelphia, PA 19112-1495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842010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92"/>
          </w:cols>
          <w:pgMar w:left="328" w:top="1172" w:right="77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44"/>
        </w:trPr>
        <w:tc>
          <w:tcPr>
            <w:tcW w:w="180" w:type="dxa"/>
            <w:vAlign w:val="bottom"/>
          </w:tcPr>
          <w:p>
            <w:pPr>
              <w:spacing w:after="0"/>
              <w:rPr>
                <w:sz w:val="24"/>
                <w:szCs w:val="24"/>
                <w:color w:val="auto"/>
              </w:rPr>
            </w:pPr>
          </w:p>
        </w:tc>
        <w:tc>
          <w:tcPr>
            <w:tcW w:w="4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800" w:type="dxa"/>
            <w:vAlign w:val="bottom"/>
            <w:gridSpan w:val="6"/>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r>
      <w:tr>
        <w:trPr>
          <w:trHeight w:val="340"/>
        </w:trPr>
        <w:tc>
          <w:tcPr>
            <w:tcW w:w="18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8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248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0"/>
        </w:trPr>
        <w:tc>
          <w:tcPr>
            <w:tcW w:w="18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8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4i—Schedule of Assets (Held at End of Year) as of December 31, 2025</w:t>
            </w: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H, line 4a—Schedule of Delinquent Participant Contributions for the Year Ended 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5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Exhibit Index—Consent of Independent Registered Public Accounting Firm</w:t>
            </w:r>
          </w:p>
        </w:tc>
        <w:tc>
          <w:tcPr>
            <w:tcW w:w="454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r>
      <w:tr>
        <w:trPr>
          <w:trHeight w:val="318"/>
        </w:trPr>
        <w:tc>
          <w:tcPr>
            <w:tcW w:w="18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r>
      <w:tr>
        <w:trPr>
          <w:trHeight w:val="1242"/>
        </w:trPr>
        <w:tc>
          <w:tcPr>
            <w:tcW w:w="18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 401(k)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Urban Outfitters, Inc. 401(k) Savings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the end of year) as of December 31, 2025, and the schedule of delinquent participant contributions for the year ended December 31, 2025, have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at fair value (see Note 3)</w:t>
            </w:r>
          </w:p>
        </w:tc>
        <w:tc>
          <w:tcPr>
            <w:tcW w:w="2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512,159,565</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415,726,920</w:t>
            </w: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2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4,535,545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4,031,289</w:t>
            </w: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516,695,110</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419,758,209</w:t>
            </w:r>
          </w:p>
        </w:tc>
      </w:tr>
      <w:tr>
        <w:trPr>
          <w:trHeight w:val="432"/>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Refundable contributions</w:t>
            </w:r>
          </w:p>
        </w:tc>
        <w:tc>
          <w:tcPr>
            <w:tcW w:w="2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3,444,046</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1,415,501</w:t>
            </w:r>
          </w:p>
        </w:tc>
      </w:tr>
      <w:tr>
        <w:trPr>
          <w:trHeight w:val="20"/>
        </w:trPr>
        <w:tc>
          <w:tcPr>
            <w:tcW w:w="538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3,444,046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1,415,501</w:t>
            </w: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513,251,064</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418,342,708</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-316230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8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4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79,422,377</w:t>
            </w:r>
          </w:p>
        </w:tc>
      </w:tr>
      <w:tr>
        <w:trPr>
          <w:trHeight w:val="216"/>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and dividends</w:t>
            </w: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618,911</w:t>
            </w:r>
          </w:p>
        </w:tc>
        <w:tc>
          <w:tcPr>
            <w:tcW w:w="100" w:type="dxa"/>
            <w:vAlign w:val="bottom"/>
          </w:tcPr>
          <w:p>
            <w:pPr>
              <w:spacing w:after="0"/>
              <w:rPr>
                <w:sz w:val="18"/>
                <w:szCs w:val="18"/>
                <w:color w:val="auto"/>
              </w:rPr>
            </w:pPr>
          </w:p>
        </w:tc>
      </w:tr>
      <w:tr>
        <w:trPr>
          <w:trHeight w:val="209"/>
        </w:trPr>
        <w:tc>
          <w:tcPr>
            <w:tcW w:w="8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80,041,288</w:t>
            </w:r>
          </w:p>
        </w:tc>
      </w:tr>
      <w:tr>
        <w:trPr>
          <w:trHeight w:val="426"/>
        </w:trPr>
        <w:tc>
          <w:tcPr>
            <w:tcW w:w="88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3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332,408</w:t>
            </w:r>
          </w:p>
        </w:tc>
        <w:tc>
          <w:tcPr>
            <w:tcW w:w="100" w:type="dxa"/>
            <w:vAlign w:val="bottom"/>
            <w:tcBorders>
              <w:top w:val="single" w:sz="8" w:color="CFF0FC"/>
            </w:tcBorders>
          </w:tcPr>
          <w:p>
            <w:pPr>
              <w:spacing w:after="0"/>
              <w:rPr>
                <w:sz w:val="24"/>
                <w:szCs w:val="24"/>
                <w:color w:val="auto"/>
              </w:rPr>
            </w:pPr>
          </w:p>
        </w:tc>
      </w:tr>
      <w:tr>
        <w:trPr>
          <w:trHeight w:val="216"/>
        </w:trPr>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3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Participants</w:t>
            </w:r>
          </w:p>
        </w:tc>
        <w:tc>
          <w:tcPr>
            <w:tcW w:w="34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35,272,273</w:t>
            </w:r>
          </w:p>
        </w:tc>
      </w:tr>
      <w:tr>
        <w:trPr>
          <w:trHeight w:val="216"/>
        </w:trPr>
        <w:tc>
          <w:tcPr>
            <w:tcW w:w="8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Employer</w:t>
            </w: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10,455,440</w:t>
            </w:r>
          </w:p>
        </w:tc>
      </w:tr>
      <w:tr>
        <w:trPr>
          <w:trHeight w:val="216"/>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Rollovers (see Note 1)</w:t>
            </w: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4,695,297</w:t>
            </w:r>
          </w:p>
        </w:tc>
        <w:tc>
          <w:tcPr>
            <w:tcW w:w="100" w:type="dxa"/>
            <w:vAlign w:val="bottom"/>
          </w:tcPr>
          <w:p>
            <w:pPr>
              <w:spacing w:after="0"/>
              <w:rPr>
                <w:sz w:val="18"/>
                <w:szCs w:val="18"/>
                <w:color w:val="auto"/>
              </w:rPr>
            </w:pPr>
          </w:p>
        </w:tc>
      </w:tr>
      <w:tr>
        <w:trPr>
          <w:trHeight w:val="210"/>
        </w:trPr>
        <w:tc>
          <w:tcPr>
            <w:tcW w:w="8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contributions</w:t>
            </w: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50,423,010</w:t>
            </w:r>
          </w:p>
        </w:tc>
      </w:tr>
      <w:tr>
        <w:trPr>
          <w:trHeight w:val="209"/>
        </w:trPr>
        <w:tc>
          <w:tcPr>
            <w:tcW w:w="882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additions</w:t>
            </w:r>
          </w:p>
        </w:tc>
        <w:tc>
          <w:tcPr>
            <w:tcW w:w="3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130,796,706</w:t>
            </w:r>
          </w:p>
        </w:tc>
        <w:tc>
          <w:tcPr>
            <w:tcW w:w="100" w:type="dxa"/>
            <w:vAlign w:val="bottom"/>
            <w:tcBorders>
              <w:top w:val="single" w:sz="8" w:color="CFF0FC"/>
            </w:tcBorders>
          </w:tcPr>
          <w:p>
            <w:pPr>
              <w:spacing w:after="0"/>
              <w:rPr>
                <w:sz w:val="18"/>
                <w:szCs w:val="18"/>
                <w:color w:val="auto"/>
              </w:rPr>
            </w:pPr>
          </w:p>
        </w:tc>
      </w:tr>
      <w:tr>
        <w:trPr>
          <w:trHeight w:val="209"/>
        </w:trPr>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4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(35,309,359)</w:t>
            </w:r>
          </w:p>
        </w:tc>
      </w:tr>
      <w:tr>
        <w:trPr>
          <w:trHeight w:val="216"/>
        </w:trPr>
        <w:tc>
          <w:tcPr>
            <w:tcW w:w="8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(578,991)</w:t>
            </w:r>
          </w:p>
        </w:tc>
      </w:tr>
      <w:tr>
        <w:trPr>
          <w:trHeight w:val="20"/>
        </w:trPr>
        <w:tc>
          <w:tcPr>
            <w:tcW w:w="8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deductions</w:t>
            </w:r>
          </w:p>
        </w:tc>
        <w:tc>
          <w:tcPr>
            <w:tcW w:w="340" w:type="dxa"/>
            <w:vAlign w:val="bottom"/>
          </w:tcPr>
          <w:p>
            <w:pPr>
              <w:spacing w:after="0"/>
              <w:rPr>
                <w:sz w:val="18"/>
                <w:szCs w:val="18"/>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(35,888,350)</w:t>
            </w:r>
          </w:p>
        </w:tc>
      </w:tr>
      <w:tr>
        <w:trPr>
          <w:trHeight w:val="210"/>
        </w:trPr>
        <w:tc>
          <w:tcPr>
            <w:tcW w:w="88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increase in net assets</w:t>
            </w: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94,908,356</w:t>
            </w:r>
          </w:p>
        </w:tc>
      </w:tr>
      <w:tr>
        <w:trPr>
          <w:trHeight w:val="432"/>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418,342,708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513,251,064</w:t>
            </w:r>
          </w:p>
        </w:tc>
        <w:tc>
          <w:tcPr>
            <w:tcW w:w="10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URBAN OUTFITTERS, INC. 401(k) SAVINGS PLAN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-5080</wp:posOffset>
            </wp:positionV>
            <wp:extent cx="28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1"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Urban Outfitters, Inc. 401(k) Savings Plan (the “Plan”) provides only general information. Participants should refer to the Plan documents for a more complete description of the Plan’s provisions.</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is a defined contribution 401(k) plan covering substantially all employees of Urban Outfitters, Inc. (the “Company”) that have attained age</w:t>
      </w:r>
    </w:p>
    <w:p>
      <w:pPr>
        <w:spacing w:after="0" w:line="27" w:lineRule="exact"/>
        <w:rPr>
          <w:sz w:val="20"/>
          <w:szCs w:val="20"/>
          <w:color w:val="auto"/>
        </w:rPr>
      </w:pPr>
    </w:p>
    <w:p>
      <w:pPr>
        <w:jc w:val="both"/>
        <w:ind w:left="520" w:hanging="3"/>
        <w:spacing w:after="0" w:line="255" w:lineRule="auto"/>
        <w:tabs>
          <w:tab w:leader="none" w:pos="7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3, 2025, eligible employees are able to participate in the Plan upon completing one month of service. Prior to March 3, 2025, eligible employees were able to participate in the Plan upon completing three months of service. The Plan is subject to the provisions of the Employee Retirement Income Security Act of 1974 (“ERISA”), as amended.</w:t>
      </w:r>
    </w:p>
    <w:p>
      <w:pPr>
        <w:spacing w:after="0" w:line="7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Plan is administered by a committee consisting of members appointed by the board of directors of the Company and the Plan’s assets are managed by Fidelity Management Trust Company (“Fidelity”), the recordkeeper and custodian. State Street Global Advisors has been retained to serve as Independent Fiduciary for Urban Outfitters, Inc. common stock.</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19"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Subject to certain limitations as outlined in the Plan documents, participants may elect to contribute from 1% to 25% of their eligible compensation, as defined, to the Plan. The Plan permits participants to make both pre-tax and certain after-tax (Roth) deferral contribution amounts. Participants who have attained age 50 before the end of the plan year are eligible to make catch-up contributions. Participants may also contribute amounts representing distributions from other qualified defined benefit or defined contribution plans. Participants direct the investment of their contributions into various investment options offered by the Plan.</w:t>
      </w:r>
    </w:p>
    <w:p>
      <w:pPr>
        <w:spacing w:after="0" w:line="75"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The Company may make matching contributions (allocated based on participant contributions for the year) and additional discretionary contributions (allocated based on participant compensation) to the Plan. To be eligible for employer contributions, a participant must have completed 12 months of continuous service. For the year ended December 31, 2025, the Company made matching contributions equal to 50% of the first 6% of an employee’s compensation deferred under the Plan. No additional discretionary contributions were made.</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Rollovers</w:t>
      </w:r>
    </w:p>
    <w:p>
      <w:pPr>
        <w:spacing w:after="0" w:line="119"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Rollovers represent transfers of account balances of certain participant contributions into certain investments of the Plan from other qualified plans or individual retirement accounts. The Plan does not accept rollovers of after-tax employee contributions. The Plan accepts rollovers of designated Roth contributions.</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Participant Accounts</w:t>
      </w:r>
    </w:p>
    <w:p>
      <w:pPr>
        <w:spacing w:after="0" w:line="119"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elective and rollover contributions, the Company’s contributions and an allocation of plan investment earnings (losses), and charged with withdrawals, distributions and fees. Participant accounts are charged quarterly with an allocation of administrative expenses that are paid by the Plan. Participant administrative expenses are based on a fixed flat fee. Allocations are based on account balances, or specific participant transactions, as defined. The benefit to which a participant is entitled is the benefit that can be provided from the participant’s vested account. Except as limited by the Company’s Insider Trading Policy and applicable laws, participants may change their investment options at any time.</w:t>
      </w:r>
    </w:p>
    <w:p>
      <w:pPr>
        <w:spacing w:after="0" w:line="1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119"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their contributions plus or minus actual earnings or losses thereon. Vesting in the Company’s contributions is graded over five years of credited service. Participants become 100% vested if separated from service due to retirement, death or disability.</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Forfeitures</w:t>
      </w:r>
    </w:p>
    <w:p>
      <w:pPr>
        <w:spacing w:after="0" w:line="119"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Participants forfeit non-vested Company contributions if their employment is terminated. Forfeited non-vested Company contributions are used first to pay administrative expenses of the Plan and then to reduce the Company’s contributions. As of December 31, 2025 and 2024, the Plan had forfeitures of approximately $1,000 and $2,000, respectively, available to pay administrative expenses or reduce future Company contributions. Forfeitures of approximately $631,000 were used to pay both administrative expenses and reduce Company contributions of the Plan for the year ended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119"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vested accounts up to a maximum equal to the lesser of $50,000 or 50% of the value of the participant’s vested interest in their account. Loan terms range from one to five years, or up to fifteen years for the purchase of a residence. The loans are collateralized by the balance in the participant’s account and bear interest at the prime rate plus a fixed rate of 1% upon loan origination. Principal and interest are paid ratably through payroll deductions. Participants may only have one loan outstanding at a given time. A participant with an existing loan may not apply for another loan until 10 calendar days following the date that the existing loan is paid in full.</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Payment of Benefits</w:t>
      </w:r>
    </w:p>
    <w:p>
      <w:pPr>
        <w:spacing w:after="0" w:line="119" w:lineRule="exact"/>
        <w:rPr>
          <w:sz w:val="20"/>
          <w:szCs w:val="20"/>
          <w:color w:val="auto"/>
        </w:rPr>
      </w:pPr>
    </w:p>
    <w:p>
      <w:pPr>
        <w:jc w:val="both"/>
        <w:ind w:left="480" w:right="20"/>
        <w:spacing w:after="0" w:line="282" w:lineRule="auto"/>
        <w:rPr>
          <w:sz w:val="20"/>
          <w:szCs w:val="20"/>
          <w:color w:val="auto"/>
        </w:rPr>
      </w:pPr>
      <w:r>
        <w:rPr>
          <w:rFonts w:ascii="Times New Roman" w:cs="Times New Roman" w:eastAsia="Times New Roman" w:hAnsi="Times New Roman"/>
          <w:sz w:val="18"/>
          <w:szCs w:val="18"/>
          <w:color w:val="auto"/>
        </w:rPr>
        <w:t>A participant who separates from service before retirement, death or disability may request early payment of their vested benefits. Benefits are paid as soon as administratively feasible following the date on which a distribution is requested.</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Separated participants may request an in-kind distribution of the portion of their vested account invested in Urban Outfitters, Inc. common stock.</w:t>
      </w:r>
    </w:p>
    <w:p>
      <w:pPr>
        <w:spacing w:after="0" w:line="71" w:lineRule="exact"/>
        <w:rPr>
          <w:sz w:val="20"/>
          <w:szCs w:val="20"/>
          <w:color w:val="auto"/>
        </w:rPr>
      </w:pPr>
    </w:p>
    <w:p>
      <w:pPr>
        <w:jc w:val="both"/>
        <w:ind w:left="480"/>
        <w:spacing w:after="0" w:line="287" w:lineRule="auto"/>
        <w:rPr>
          <w:sz w:val="20"/>
          <w:szCs w:val="20"/>
          <w:color w:val="auto"/>
        </w:rPr>
      </w:pPr>
      <w:r>
        <w:rPr>
          <w:rFonts w:ascii="Times New Roman" w:cs="Times New Roman" w:eastAsia="Times New Roman" w:hAnsi="Times New Roman"/>
          <w:sz w:val="18"/>
          <w:szCs w:val="18"/>
          <w:color w:val="auto"/>
        </w:rPr>
        <w:t xml:space="preserve">Participants, upon attainment of age 59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may elect to receive in-service distributions. Financial hardship withdrawals are permitted with self-certification of financial hardship by the participant in accordance with the SECURE 2.0 Act.</w:t>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Funding Policy</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remits employee deferral and Company matching contributions to the Plan on a bi-weekly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Accounting Policies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financial statements of the Plan are prepared using the accrual basis of accounting in accordance with accounting principles generally accepted in the United States of America except for benefit payments which are recorded when paid.</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Participant contributions are recorded when the Company makes payroll deductions from eligible Plan participants. Employer contributions are accrued in the period in which they become obligations of the Company.</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Valuation of Investments</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Plan’s investments are stated at fair value. Fair value is the price that would be received to sell an asset or paid to transfer a liability in an orderly transaction between market participants at the measurement date. See Note 3, “Fair Value Measurements,” for a discussion on fair value measurements.</w:t>
      </w:r>
    </w:p>
    <w:p>
      <w:pPr>
        <w:spacing w:after="0" w:line="6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Net Appreciation in Fair Value of Investments</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Plan presents, in the Statement of Changes in Net Assets Available for Benefits, the net appreciation in the fair value of its investments, which consists of the net realized gains and the unrealized appreciation on these investments. Investment related expenses are included in net appreciation of fair value of investments.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9" w:lineRule="exact"/>
        <w:rPr>
          <w:sz w:val="20"/>
          <w:szCs w:val="20"/>
          <w:color w:val="auto"/>
        </w:rPr>
      </w:pPr>
    </w:p>
    <w:p>
      <w:pPr>
        <w:jc w:val="both"/>
        <w:ind w:left="520" w:right="20"/>
        <w:spacing w:after="0" w:line="261" w:lineRule="auto"/>
        <w:rPr>
          <w:sz w:val="20"/>
          <w:szCs w:val="20"/>
          <w:color w:val="auto"/>
        </w:rPr>
      </w:pPr>
      <w:r>
        <w:rPr>
          <w:rFonts w:ascii="Times New Roman" w:cs="Times New Roman" w:eastAsia="Times New Roman" w:hAnsi="Times New Roman"/>
          <w:sz w:val="18"/>
          <w:szCs w:val="18"/>
          <w:color w:val="auto"/>
        </w:rPr>
        <w:t>Administrative expenses are calculated on a quarterly basis using a fixed fee formula based on participant headcount. Administrative expenses are subject to offset for revenue received from investments based on average quarterly assets. Any remaining balance, after the application of the offsets, is charged to participants’ accounts on a quarterly basis. Certain expenses of maintaining the Plan are paid for by the Company and are excluded from these financial statements.</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119"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 w:name="page8"/>
    <w:bookmarkEnd w:id="7"/>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incurred. If a participant ceases to make loan repayments and the recordkeeper deems the participant loan to be in default, the participant loan balance is reduced and a benefit payment is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Accounting Standards Codification (“ASC”) Topic 820 defines fair value as the price that would be received to sell an asset or paid to transfer a liability in an orderly transaction between market participants at the measurement date and establishes a three-tier hierarchy that is used to identify assets and liabilities measured at fair value. The hierarchy focuses on the inputs used to measure fair value and requires that the lowest level input be used. The three levels defined in ASC Topic 820 are as follows:</w:t>
      </w:r>
    </w:p>
    <w:p>
      <w:pPr>
        <w:spacing w:after="0" w:line="72" w:lineRule="exact"/>
        <w:rPr>
          <w:sz w:val="20"/>
          <w:szCs w:val="20"/>
          <w:color w:val="auto"/>
        </w:rPr>
      </w:pPr>
    </w:p>
    <w:p>
      <w:pPr>
        <w:ind w:left="1000" w:hanging="356"/>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based upon quoted market prices for identical assets or liabilities within active markets.</w:t>
      </w:r>
    </w:p>
    <w:p>
      <w:pPr>
        <w:spacing w:after="0" w:line="117" w:lineRule="exact"/>
        <w:rPr>
          <w:rFonts w:ascii="Times New Roman" w:cs="Times New Roman" w:eastAsia="Times New Roman" w:hAnsi="Times New Roman"/>
          <w:sz w:val="18"/>
          <w:szCs w:val="18"/>
          <w:color w:val="auto"/>
        </w:rPr>
      </w:pPr>
    </w:p>
    <w:p>
      <w:pPr>
        <w:jc w:val="both"/>
        <w:ind w:left="1020" w:right="20" w:hanging="376"/>
        <w:spacing w:after="0" w:line="266" w:lineRule="auto"/>
        <w:tabs>
          <w:tab w:leader="none" w:pos="9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that are based upon quoted market prices for similar assets or liabilities, based upon quoted prices within inactive markets, or inputs other than quoted market prices that are observable through market data for substantially the full term of the asset or liability.</w:t>
      </w:r>
    </w:p>
    <w:p>
      <w:pPr>
        <w:spacing w:after="0" w:line="67" w:lineRule="exact"/>
        <w:rPr>
          <w:rFonts w:ascii="Times New Roman" w:cs="Times New Roman" w:eastAsia="Times New Roman" w:hAnsi="Times New Roman"/>
          <w:sz w:val="18"/>
          <w:szCs w:val="18"/>
          <w:color w:val="auto"/>
        </w:rPr>
      </w:pPr>
    </w:p>
    <w:p>
      <w:pPr>
        <w:ind w:left="1020" w:right="20" w:hanging="376"/>
        <w:spacing w:after="0" w:line="282" w:lineRule="auto"/>
        <w:tabs>
          <w:tab w:leader="none" w:pos="9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that are unobservable for the particular asset or liability due to little or no market activity and are significant to the fair value of the asset or liability. These inputs reflect assumptions that market participants would use when valuing the particular asset or liability.</w:t>
      </w:r>
    </w:p>
    <w:p>
      <w:pPr>
        <w:spacing w:after="0" w:line="54"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5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ASC Topic 820 requires the Plan to describe the methodologies used to measure the fair value of assets and liabilities. These methodologies were consistently applied to all assets and liabilities carried by the Plan as of December 31, 2025 and 2024. The Plan has described below, the methodology used to measure each major category of investment assets.</w:t>
      </w:r>
    </w:p>
    <w:p>
      <w:pPr>
        <w:spacing w:after="0" w:line="68" w:lineRule="exact"/>
        <w:rPr>
          <w:sz w:val="20"/>
          <w:szCs w:val="20"/>
          <w:color w:val="auto"/>
        </w:rPr>
      </w:pPr>
    </w:p>
    <w:p>
      <w:pPr>
        <w:jc w:val="both"/>
        <w:ind w:left="1020" w:hanging="376"/>
        <w:spacing w:after="0" w:line="261" w:lineRule="auto"/>
        <w:tabs>
          <w:tab w:leader="none" w:pos="9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Urban Outfitters, Inc. common stock fund is tracked on a unitized basis and is an employer stock fund. The fund consists of Urban Outfitters, Inc. common stock. Unitization of the fund allows for daily trades. Urban Outfitters, Inc. common stock is valued at the quoted market price from a national securities exchange which represents fair value. The Urban Outfitters, Inc. common stock fund is classified within Level 1 of the valuation hierarchy.</w:t>
      </w:r>
    </w:p>
    <w:p>
      <w:pPr>
        <w:spacing w:after="0" w:line="71" w:lineRule="exact"/>
        <w:rPr>
          <w:rFonts w:ascii="Times New Roman" w:cs="Times New Roman" w:eastAsia="Times New Roman" w:hAnsi="Times New Roman"/>
          <w:sz w:val="18"/>
          <w:szCs w:val="18"/>
          <w:color w:val="auto"/>
        </w:rPr>
      </w:pPr>
    </w:p>
    <w:p>
      <w:pPr>
        <w:jc w:val="both"/>
        <w:ind w:left="1020" w:hanging="376"/>
        <w:spacing w:after="0" w:line="266" w:lineRule="auto"/>
        <w:tabs>
          <w:tab w:leader="none" w:pos="9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are valued at the daily closing price as reported by the fund based on published market prices as of the close of the last day of the plan year. These values represent the net asset values of the shares held by the Plan and are classified within Level 1 of the valuation hierarchy.</w:t>
      </w:r>
    </w:p>
    <w:p>
      <w:pPr>
        <w:spacing w:after="0" w:line="67" w:lineRule="exact"/>
        <w:rPr>
          <w:rFonts w:ascii="Times New Roman" w:cs="Times New Roman" w:eastAsia="Times New Roman" w:hAnsi="Times New Roman"/>
          <w:sz w:val="18"/>
          <w:szCs w:val="18"/>
          <w:color w:val="auto"/>
        </w:rPr>
      </w:pPr>
    </w:p>
    <w:p>
      <w:pPr>
        <w:ind w:left="1020" w:right="40" w:hanging="376"/>
        <w:spacing w:after="0" w:line="282" w:lineRule="auto"/>
        <w:tabs>
          <w:tab w:leader="none" w:pos="9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Interest-bearing deposits are valued at carrying value, which approximates fair value, and are classified within Level 1 of the valuation hierarchy.</w:t>
      </w:r>
    </w:p>
    <w:p>
      <w:pPr>
        <w:spacing w:after="0" w:line="53" w:lineRule="exact"/>
        <w:rPr>
          <w:rFonts w:ascii="Times New Roman" w:cs="Times New Roman" w:eastAsia="Times New Roman" w:hAnsi="Times New Roman"/>
          <w:sz w:val="18"/>
          <w:szCs w:val="18"/>
          <w:color w:val="auto"/>
        </w:rPr>
      </w:pPr>
    </w:p>
    <w:p>
      <w:pPr>
        <w:jc w:val="both"/>
        <w:ind w:left="1020" w:hanging="376"/>
        <w:spacing w:after="0" w:line="266" w:lineRule="auto"/>
        <w:tabs>
          <w:tab w:leader="none" w:pos="9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collective trusts are valued using the net asset value (NAV) per share provided by the investment fund’s trustee and is determined by the fair value of the underlying assets less its liabilities within the portfolio. NAV is used as a practical expedient to estimate fair value. All common collective trusts are direct filing entities.</w:t>
      </w:r>
    </w:p>
    <w:p>
      <w:pPr>
        <w:spacing w:after="0" w:line="6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which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520"/>
        <w:spacing w:after="0" w:line="257" w:lineRule="auto"/>
        <w:rPr>
          <w:sz w:val="20"/>
          <w:szCs w:val="20"/>
          <w:color w:val="auto"/>
        </w:rPr>
      </w:pPr>
      <w:r>
        <w:rPr>
          <w:rFonts w:ascii="Times New Roman" w:cs="Times New Roman" w:eastAsia="Times New Roman" w:hAnsi="Times New Roman"/>
          <w:sz w:val="18"/>
          <w:szCs w:val="18"/>
          <w:color w:val="auto"/>
        </w:rPr>
        <w:t>The following tables present the fair value of investment assets as of December 31, 2025 and 2024 by type of asset and by the valuation hierarchy described above. The Plan had no assets that were classified as Level 2 or 3 as of December 31, 2025 and 2024.</w:t>
      </w:r>
    </w:p>
    <w:p>
      <w:pPr>
        <w:sectPr>
          <w:pgSz w:w="11900" w:h="16838" w:orient="portrait"/>
          <w:cols w:equalWidth="0" w:num="1">
            <w:col w:w="11240"/>
          </w:cols>
          <w:pgMar w:left="320" w:top="1093" w:right="339" w:bottom="1440" w:gutter="0" w:footer="0" w:header="0"/>
        </w:sectPr>
      </w:pPr>
    </w:p>
    <w:p>
      <w:pPr>
        <w:spacing w:after="0" w:line="29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2691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Urban Outfitters, Inc. common stock fund</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Mutual funds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Interest-bearing deposits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45" w:lineRule="exact"/>
        <w:rPr>
          <w:sz w:val="20"/>
          <w:szCs w:val="20"/>
          <w:color w:val="auto"/>
        </w:rPr>
      </w:pPr>
    </w:p>
    <w:p>
      <w:pPr>
        <w:ind w:left="1780" w:right="400"/>
        <w:spacing w:after="0" w:line="297" w:lineRule="auto"/>
        <w:rPr>
          <w:sz w:val="20"/>
          <w:szCs w:val="20"/>
          <w:color w:val="auto"/>
        </w:rPr>
      </w:pPr>
      <w:r>
        <w:rPr>
          <w:rFonts w:ascii="Times New Roman" w:cs="Times New Roman" w:eastAsia="Times New Roman" w:hAnsi="Times New Roman"/>
          <w:sz w:val="18"/>
          <w:szCs w:val="18"/>
          <w:color w:val="auto"/>
        </w:rPr>
        <w:t>Common collective trusts measured at NAV* Total investments at fair value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2691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Urban Outfitters, Inc. common stock fund</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Mutual funds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Interest-bearing deposits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45" w:lineRule="exact"/>
        <w:rPr>
          <w:sz w:val="20"/>
          <w:szCs w:val="20"/>
          <w:color w:val="auto"/>
        </w:rPr>
      </w:pPr>
    </w:p>
    <w:p>
      <w:pPr>
        <w:ind w:left="1780" w:right="400"/>
        <w:spacing w:after="0" w:line="297" w:lineRule="auto"/>
        <w:rPr>
          <w:sz w:val="20"/>
          <w:szCs w:val="20"/>
          <w:color w:val="auto"/>
        </w:rPr>
      </w:pPr>
      <w:r>
        <w:rPr>
          <w:rFonts w:ascii="Times New Roman" w:cs="Times New Roman" w:eastAsia="Times New Roman" w:hAnsi="Times New Roman"/>
          <w:sz w:val="18"/>
          <w:szCs w:val="18"/>
          <w:color w:val="auto"/>
        </w:rPr>
        <w:t>Common collective trusts measured at NAV* Total investments at fair value</w:t>
      </w:r>
    </w:p>
    <w:p>
      <w:pPr>
        <w:spacing w:after="0" w:line="20" w:lineRule="exact"/>
        <w:rPr>
          <w:sz w:val="20"/>
          <w:szCs w:val="20"/>
          <w:color w:val="auto"/>
        </w:rPr>
      </w:pPr>
      <w:r>
        <w:rPr>
          <w:sz w:val="20"/>
          <w:szCs w:val="20"/>
          <w:color w:val="auto"/>
        </w:rPr>
        <w:br w:type="column"/>
      </w:r>
    </w:p>
    <w:p>
      <w:pPr>
        <w:jc w:val="center"/>
        <w:ind w:right="1760"/>
        <w:spacing w:after="0" w:line="221" w:lineRule="auto"/>
        <w:rPr>
          <w:sz w:val="20"/>
          <w:szCs w:val="20"/>
          <w:color w:val="auto"/>
        </w:rPr>
      </w:pPr>
      <w:r>
        <w:rPr>
          <w:rFonts w:ascii="Times New Roman" w:cs="Times New Roman" w:eastAsia="Times New Roman" w:hAnsi="Times New Roman"/>
          <w:sz w:val="14"/>
          <w:szCs w:val="14"/>
          <w:b w:val="1"/>
          <w:bCs w:val="1"/>
          <w:color w:val="auto"/>
        </w:rPr>
        <w:t>Fair Value Measurements at</w:t>
      </w:r>
    </w:p>
    <w:p>
      <w:pPr>
        <w:spacing w:after="0" w:line="1"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20999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20,757,774</w:t>
            </w:r>
          </w:p>
        </w:tc>
        <w:tc>
          <w:tcPr>
            <w:tcW w:w="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500" w:type="dxa"/>
            <w:vAlign w:val="bottom"/>
          </w:tcPr>
          <w:p>
            <w:pPr>
              <w:jc w:val="right"/>
              <w:ind w:right="3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20,757,774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8,097,367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28,857,147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28,857,147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483,302,418</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512,159,565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16,228,420</w:t>
            </w:r>
          </w:p>
        </w:tc>
        <w:tc>
          <w:tcPr>
            <w:tcW w:w="30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500" w:type="dxa"/>
            <w:vAlign w:val="bottom"/>
          </w:tcPr>
          <w:p>
            <w:pPr>
              <w:jc w:val="right"/>
              <w:ind w:right="3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16,228,420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17,555,241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17,555,241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33,785,508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33,785,508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381,941,412</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415,726,920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-2202180</wp:posOffset>
            </wp:positionV>
            <wp:extent cx="49891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-1919605</wp:posOffset>
            </wp:positionV>
            <wp:extent cx="49891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-1610995</wp:posOffset>
            </wp:positionV>
            <wp:extent cx="498919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-890905</wp:posOffset>
            </wp:positionV>
            <wp:extent cx="498919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-616585</wp:posOffset>
            </wp:positionV>
            <wp:extent cx="498919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-307975</wp:posOffset>
            </wp:positionV>
            <wp:extent cx="498919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460" w:space="720"/>
            <w:col w:w="5060"/>
          </w:cols>
          <w:pgMar w:left="320" w:top="1093" w:right="339" w:bottom="1440" w:gutter="0" w:footer="0" w:header="0"/>
          <w:type w:val="continuous"/>
        </w:sectPr>
      </w:pPr>
    </w:p>
    <w:p>
      <w:pPr>
        <w:spacing w:after="0" w:line="30" w:lineRule="exact"/>
        <w:rPr>
          <w:sz w:val="20"/>
          <w:szCs w:val="20"/>
          <w:color w:val="auto"/>
        </w:rPr>
      </w:pPr>
    </w:p>
    <w:p>
      <w:pPr>
        <w:jc w:val="both"/>
        <w:ind w:left="760" w:right="20" w:hanging="190"/>
        <w:spacing w:after="0" w:line="266" w:lineRule="auto"/>
        <w:tabs>
          <w:tab w:leader="none" w:pos="9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investments that are measured at fair value using the NAV per share practical expedient have not been categorized in the fair value hierarchy. The fair value amounts presented in this table are intended to reconcile the fair value hierarchy to the amounts presented in the Statements of Net Assets Available for Benefits.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investments measured at fair value based on NAV per share as of December 31, 2025 and 2024.</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(if currently</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Notice</w:t>
            </w:r>
          </w:p>
        </w:tc>
        <w:tc>
          <w:tcPr>
            <w:tcW w:w="0" w:type="dxa"/>
            <w:vAlign w:val="bottom"/>
          </w:tcPr>
          <w:p>
            <w:pPr>
              <w:spacing w:after="0"/>
              <w:rPr>
                <w:sz w:val="1"/>
                <w:szCs w:val="1"/>
                <w:color w:val="auto"/>
              </w:rPr>
            </w:pPr>
          </w:p>
        </w:tc>
      </w:tr>
      <w:tr>
        <w:trPr>
          <w:trHeight w:val="173"/>
        </w:trPr>
        <w:tc>
          <w:tcPr>
            <w:tcW w:w="26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280" w:type="dxa"/>
            <w:vAlign w:val="bottom"/>
          </w:tcPr>
          <w:p>
            <w:pPr>
              <w:spacing w:after="0"/>
              <w:rPr>
                <w:sz w:val="15"/>
                <w:szCs w:val="15"/>
                <w:color w:val="auto"/>
              </w:rPr>
            </w:pPr>
          </w:p>
        </w:tc>
        <w:tc>
          <w:tcPr>
            <w:tcW w:w="12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3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trusts</w:t>
            </w:r>
          </w:p>
        </w:tc>
        <w:tc>
          <w:tcPr>
            <w:tcW w:w="16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  483,302,418</w:t>
            </w: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  381,941,412</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The Galliard Stable Return Fund requires for withdrawals directed by the Plan Sponsor, not the participants, to be preceded by a 12-month written notice.</w:t>
      </w:r>
    </w:p>
    <w:p>
      <w:pPr>
        <w:spacing w:after="0" w:line="266"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Refundable Contributions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order to satisfy the relevant non-discrimination provisions of the Plan, the Plan refunds any excess deferral contributions, excess employer contributions and related net gains or losses of certain active participants. Refundable contributions at December 31, 2025 and 2024 were $3,444,046 and $1,415,501, respectively. Refunds are issued to participants by the month of March subsequent to each plan year. Contributions received from participants and the employer have been reduced by the refundable contributions on the Statement of Changes in Net Assets Available for Benefits for the year ended December 31, 2025.</w:t>
      </w:r>
    </w:p>
    <w:p>
      <w:pPr>
        <w:spacing w:after="0" w:line="28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58"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and Party-in-Interest Transactions</w:t>
      </w:r>
    </w:p>
    <w:p>
      <w:pPr>
        <w:spacing w:after="0" w:line="121"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Certain plan investments qualify as related party and party-in-interest transactions. These include shares of the Company’s common stock, interest-bearing deposits and mutual funds.</w:t>
      </w:r>
    </w:p>
    <w:p>
      <w:pPr>
        <w:spacing w:after="0" w:line="54"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investments held in Urban Outfitters, Inc. common stock were $20,757,774 and $16,228,420 as of December 31, 2025 and 2024, respectively, which comprised approximately 4% of net assets available for benefits as of December 31, 2025 and 2024, respectively.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 w:name="page10"/>
    <w:bookmarkEnd w:id="9"/>
    <w:p>
      <w:pPr>
        <w:ind w:left="520"/>
        <w:spacing w:after="0" w:line="282" w:lineRule="auto"/>
        <w:rPr>
          <w:sz w:val="20"/>
          <w:szCs w:val="20"/>
          <w:color w:val="auto"/>
        </w:rPr>
      </w:pPr>
      <w:r>
        <w:rPr>
          <w:rFonts w:ascii="Times New Roman" w:cs="Times New Roman" w:eastAsia="Times New Roman" w:hAnsi="Times New Roman"/>
          <w:sz w:val="18"/>
          <w:szCs w:val="18"/>
          <w:color w:val="auto"/>
        </w:rPr>
        <w:t>The Plan holds interest-bearing deposits (Fidelity Cash Reserves Fund) managed by Fidelity. At December 31, 2025 and 2024, the Plan held $2,006 and $1,847, respectively, of the Fidelity Cash Reserves Fund.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receivable from participants represent a portion of the Plan’s receivables. These transactions also qualify as party-in-interest transactions.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receivable from participants to the Plan were $4,535,545 and $4,031,289 as of December 31, 2025 and 2024, respectively.</w:t>
      </w:r>
    </w:p>
    <w:p>
      <w:pPr>
        <w:spacing w:after="0" w:line="243"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Plan is based on Fidelity Management &amp; Research Co.’s Volume Submitter Profit Sharing Plan with Cash or Deferred Arrangements (“CODA”). The Internal Revenue Service (“IRS”) ruled on June 30, 2020 that the Plan qualifies under Section 401(a) of the Internal Revenue Code (“IRC”) under the volume submitter program and the related trust is, therefore, not subject to tax under the present income tax law. The Plan is required to operate in conformity with the IRC to maintain its qualification. The Plan administration believes that the Plan is designed and is currently being operated, including the adoption of amendments, in compliance with the applicable requirements of the IRC and continues to be tax-exempt.</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federal, state and/or local taxing authorities. The Plan is subject to routine examinations by taxing jurisdictions; however, there are currently no audits for any tax periods currently in progress.</w:t>
      </w:r>
    </w:p>
    <w:p>
      <w:pPr>
        <w:spacing w:after="0" w:line="28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284"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Late Remittances</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During the Plan year ended December 31, 2025, employee deferrals and loan repayments in the amount of $15,279 were not applied to participants' accounts within the appropriate time period. This transaction constitutes a prohibited transaction, as defined by ERISA. Appropriate steps were taken to correct the situation during the Plan year ended December 31, 2025.</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has evaluated the effects of events that have occurred subsequent to December 31, 2025, through the issuance of these financial statements and has identified no subsequent events.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EIN: 23-2003332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 -002</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H, LINE 4i—SCHEDULE OF ASSETS (HELD AT END OF YEAR)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5"/>
                <w:szCs w:val="15"/>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17"/>
        </w:trPr>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DESCRIPTION OF INVESTMENT</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INCLUDING MATURITY DATE,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OF INTEREST,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07"/>
        </w:trPr>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IDENTITY OF ISSUE, BORROWER,</w:t>
            </w:r>
          </w:p>
        </w:tc>
        <w:tc>
          <w:tcPr>
            <w:tcW w:w="200" w:type="dxa"/>
            <w:vAlign w:val="bottom"/>
          </w:tcPr>
          <w:p>
            <w:pPr>
              <w:spacing w:after="0"/>
              <w:rPr>
                <w:sz w:val="9"/>
                <w:szCs w:val="9"/>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9"/>
        </w:trPr>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LESSOR OR SIMILAR PARTY</w:t>
            </w:r>
          </w:p>
        </w:tc>
        <w:tc>
          <w:tcPr>
            <w:tcW w:w="200" w:type="dxa"/>
            <w:vAlign w:val="bottom"/>
          </w:tcPr>
          <w:p>
            <w:pPr>
              <w:spacing w:after="0"/>
              <w:rPr>
                <w:sz w:val="3"/>
                <w:szCs w:val="3"/>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PAR OR MATURITY VALUE</w:t>
            </w: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Urban Outfitters, Inc</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Fund</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20,757,774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Fidelity Cash Reserves Fund</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CC&amp;L Q International Equity Class M</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12,587,966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Galliard Stable Return Fund E</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JP Morgan U.S. Active Core Equity Fund CF-X2</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62,539,160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Prudential Core Plus Bond</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Spartan International Index Pool Class C</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12,794,111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Spartan Total Market Index Pool Class C</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67,821,950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2020 Trust II</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2,316,127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2025 Trust II</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2030 Trust II</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11,651,476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2035 Trust II</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13,955,785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2040 Trust II</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31,726,398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2045 Trust II</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25,795,550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2050 Trust II</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87,692,922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2055 Trust II</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63,196,817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2060 Trust II</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38,772,315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2065 Trust II</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Target Retirement 2070 Trust II</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Target Retirement Income Trust II</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William Blair Small-Mid Cap Growth Fund</w:t>
            </w: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Collective Trust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14,787,153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Vanguard Inflation Protected Securities Fund</w:t>
            </w:r>
          </w:p>
        </w:tc>
        <w:tc>
          <w:tcPr>
            <w:tcW w:w="2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Mutual Fund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Vanguard Total Bond Market Fund</w:t>
            </w:r>
          </w:p>
        </w:tc>
        <w:tc>
          <w:tcPr>
            <w:tcW w:w="200" w:type="dxa"/>
            <w:vAlign w:val="bottom"/>
            <w:tcBorders>
              <w:bottom w:val="single" w:sz="8" w:color="CFF0FC"/>
            </w:tcBorders>
            <w:shd w:val="clear" w:color="auto" w:fill="CFF0FC"/>
          </w:tcPr>
          <w:p>
            <w:pPr>
              <w:spacing w:after="0"/>
              <w:rPr>
                <w:sz w:val="18"/>
                <w:szCs w:val="18"/>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6,940,650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512,159,565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7"/>
                <w:szCs w:val="17"/>
                <w:color w:val="auto"/>
              </w:rPr>
            </w:pPr>
          </w:p>
        </w:tc>
        <w:tc>
          <w:tcPr>
            <w:tcW w:w="65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Participant Loans</w:t>
            </w:r>
          </w:p>
        </w:tc>
        <w:tc>
          <w:tcPr>
            <w:tcW w:w="200" w:type="dxa"/>
            <w:vAlign w:val="bottom"/>
            <w:shd w:val="clear" w:color="auto" w:fill="CFF0FC"/>
          </w:tcPr>
          <w:p>
            <w:pPr>
              <w:spacing w:after="0"/>
              <w:rPr>
                <w:sz w:val="17"/>
                <w:szCs w:val="17"/>
                <w:color w:val="auto"/>
              </w:rPr>
            </w:pPr>
          </w:p>
        </w:tc>
        <w:tc>
          <w:tcPr>
            <w:tcW w:w="2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Interest rates ranging from</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4.25% to 9.50%; various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through November</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4,535,545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580" w:type="dxa"/>
            <w:vAlign w:val="bottom"/>
            <w:tcBorders>
              <w:bottom w:val="single" w:sz="8" w:color="CFF0FC"/>
            </w:tcBorders>
            <w:shd w:val="clear" w:color="auto" w:fill="CFF0FC"/>
          </w:tcPr>
          <w:p>
            <w:pPr>
              <w:spacing w:after="0"/>
              <w:rPr>
                <w:sz w:val="19"/>
                <w:szCs w:val="19"/>
                <w:color w:val="auto"/>
              </w:rPr>
            </w:pPr>
          </w:p>
        </w:tc>
        <w:tc>
          <w:tcPr>
            <w:tcW w:w="24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516,695,110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 as defined by ERISA</w:t>
      </w:r>
    </w:p>
    <w:p>
      <w:pPr>
        <w:spacing w:after="0" w:line="27" w:lineRule="exact"/>
        <w:rPr>
          <w:sz w:val="20"/>
          <w:szCs w:val="20"/>
          <w:color w:val="auto"/>
        </w:rPr>
      </w:pPr>
    </w:p>
    <w:p>
      <w:pPr>
        <w:ind w:left="5540" w:right="3820" w:hanging="5532"/>
        <w:spacing w:after="0" w:line="386" w:lineRule="auto"/>
        <w:tabs>
          <w:tab w:leader="none" w:pos="3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 directed investments and therefore, is not included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EIN: 23-2003332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-002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SCHEDULE H, LINE 4a—SCHEDULE OF DELINQUENT PARTICIPANT CONTRIBUTIONS</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ectPr>
          <w:pgSz w:w="11900" w:h="16838" w:orient="portrait"/>
          <w:cols w:equalWidth="0" w:num="1">
            <w:col w:w="11100"/>
          </w:cols>
          <w:pgMar w:left="320" w:top="981" w:right="479" w:bottom="1440" w:gutter="0" w:footer="0" w:header="0"/>
        </w:sect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7"/>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rPr>
              <w:t>Total that Constitute Nonexempt Prohibited Transactions</w:t>
            </w:r>
          </w:p>
        </w:tc>
        <w:tc>
          <w:tcPr>
            <w:tcW w:w="0" w:type="dxa"/>
            <w:vAlign w:val="bottom"/>
          </w:tcPr>
          <w:p>
            <w:pPr>
              <w:spacing w:after="0"/>
              <w:rPr>
                <w:sz w:val="1"/>
                <w:szCs w:val="1"/>
                <w:color w:val="auto"/>
              </w:rPr>
            </w:pPr>
          </w:p>
        </w:tc>
      </w:tr>
      <w:tr>
        <w:trPr>
          <w:trHeight w:val="266"/>
        </w:trPr>
        <w:tc>
          <w:tcPr>
            <w:tcW w:w="3840" w:type="dxa"/>
            <w:vAlign w:val="bottom"/>
          </w:tcPr>
          <w:p>
            <w:pPr>
              <w:spacing w:after="0"/>
              <w:rPr>
                <w:sz w:val="23"/>
                <w:szCs w:val="23"/>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CONTRIBUTIONS NOT</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CORRECTED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PENDING</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OUTSIDE VFCP*</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CORRECTION IN</w:t>
            </w:r>
          </w:p>
        </w:tc>
        <w:tc>
          <w:tcPr>
            <w:tcW w:w="0" w:type="dxa"/>
            <w:vAlign w:val="bottom"/>
          </w:tcPr>
          <w:p>
            <w:pPr>
              <w:spacing w:after="0"/>
              <w:rPr>
                <w:sz w:val="1"/>
                <w:szCs w:val="1"/>
                <w:color w:val="auto"/>
              </w:rPr>
            </w:pPr>
          </w:p>
        </w:tc>
      </w:tr>
      <w:tr>
        <w:trPr>
          <w:trHeight w:val="109"/>
        </w:trPr>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VFCP*</w:t>
            </w:r>
          </w:p>
        </w:tc>
        <w:tc>
          <w:tcPr>
            <w:tcW w:w="0" w:type="dxa"/>
            <w:vAlign w:val="bottom"/>
          </w:tcPr>
          <w:p>
            <w:pPr>
              <w:spacing w:after="0"/>
              <w:rPr>
                <w:sz w:val="1"/>
                <w:szCs w:val="1"/>
                <w:color w:val="auto"/>
              </w:rPr>
            </w:pPr>
          </w:p>
        </w:tc>
      </w:tr>
      <w:tr>
        <w:trPr>
          <w:trHeight w:val="64"/>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Participant Contributions transferred late to the Plan</w:t>
            </w: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4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Voluntary Fiduciary Correction Program</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Prohibited Transaction Exemption 2002-51</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left="60"/>
        <w:spacing w:after="0" w:line="243" w:lineRule="auto"/>
        <w:rPr>
          <w:sz w:val="20"/>
          <w:szCs w:val="20"/>
          <w:color w:val="auto"/>
        </w:rPr>
      </w:pPr>
      <w:r>
        <w:rPr>
          <w:rFonts w:ascii="Times New Roman" w:cs="Times New Roman" w:eastAsia="Times New Roman" w:hAnsi="Times New Roman"/>
          <w:sz w:val="14"/>
          <w:szCs w:val="14"/>
          <w:b w:val="1"/>
          <w:bCs w:val="1"/>
          <w:color w:val="auto"/>
        </w:rPr>
        <w:t>TOTAL FULLY CORRECTED UNDER VFCP AND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PTE 2002-51**</w:t>
      </w:r>
    </w:p>
    <w:p>
      <w:pPr>
        <w:spacing w:after="0" w:line="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10198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ectPr>
          <w:pgSz w:w="11900" w:h="16838" w:orient="portrait"/>
          <w:cols w:equalWidth="0" w:num="2">
            <w:col w:w="9220" w:space="300"/>
            <w:col w:w="1580"/>
          </w:cols>
          <w:pgMar w:left="320" w:top="981" w:right="479" w:bottom="1440" w:gutter="0" w:footer="0" w:header="0"/>
          <w:type w:val="continuous"/>
        </w:sectPr>
      </w:pPr>
    </w:p>
    <w:bookmarkStart w:id="12" w:name="page13"/>
    <w:bookmarkEnd w:id="12"/>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BDO USA,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-7620</wp:posOffset>
            </wp:positionV>
            <wp:extent cx="127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327"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3" w:name="page14"/>
    <w:bookmarkEnd w:id="1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administer(s)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Urban Outfitters, Inc. 401(k) Savings Plan</w:t>
      </w:r>
    </w:p>
    <w:p>
      <w:pPr>
        <w:spacing w:after="0" w:line="225" w:lineRule="exact"/>
        <w:rPr>
          <w:sz w:val="20"/>
          <w:szCs w:val="20"/>
          <w:color w:val="auto"/>
        </w:rPr>
      </w:pPr>
    </w:p>
    <w:p>
      <w:pPr>
        <w:spacing w:after="0"/>
        <w:tabs>
          <w:tab w:leader="none" w:pos="5180" w:val="left"/>
          <w:tab w:leader="none" w:pos="7400" w:val="left"/>
          <w:tab w:leader="none" w:pos="776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4"/>
          <w:szCs w:val="14"/>
          <w:color w:val="auto"/>
        </w:rPr>
        <w:t>ELANIE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AREIN</w:t>
      </w: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Melanie Marein-Efron</w:t>
      </w: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Plan Administrator</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1" w:right="639" w:bottom="1440" w:gutter="0" w:footer="0" w:header="0"/>
        </w:sectPr>
      </w:pPr>
    </w:p>
    <w:bookmarkStart w:id="14" w:name="page15"/>
    <w:bookmarkEnd w:id="14"/>
    <w:p>
      <w:pPr>
        <w:spacing w:after="0" w:line="149"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 401(k) Savings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333-33603, No. 333-84333, No. 333-38648, No. 333-119878, No. 333-153149, No. 333-183902, and No. 333-219285) of Urban Outfitters, Inc. of our report dated June 18, 2026, relating to the financial statements and supplemental schedules of the Urban Outfitters, Inc. 401(k) Savings Plan which appear in this Form 11-K for the year ended December 31, 2025.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1."/>
      <w:numFmt w:val="decimal"/>
      <w:start w:val="18"/>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4"/>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decimal"/>
      <w:start w:val="6"/>
    </w:lvl>
  </w:abstractNum>
  <w:abstractNum w:abstractNumId="10">
    <w:nsid w:val="109CF92E"/>
    <w:multiLevelType w:val="hybridMultilevel"/>
    <w:lvl w:ilvl="0">
      <w:lvlJc w:val="left"/>
      <w:lvlText w:val="%1."/>
      <w:numFmt w:val="decimal"/>
      <w:start w:val="7"/>
    </w:lvl>
  </w:abstractNum>
  <w:abstractNum w:abstractNumId="11">
    <w:nsid w:val="DED7263"/>
    <w:multiLevelType w:val="hybridMultilevel"/>
    <w:lvl w:ilvl="0">
      <w:lvlJc w:val="left"/>
      <w:lvlText w:val="%1."/>
      <w:numFmt w:val="decimal"/>
      <w:start w:val="8"/>
    </w:lvl>
  </w:abstractNum>
  <w:abstractNum w:abstractNumId="12">
    <w:nsid w:val="7FDCC233"/>
    <w:multiLevelType w:val="hybridMultilevel"/>
    <w:lvl w:ilvl="0">
      <w:lvlJc w:val="left"/>
      <w:lvlText w:val="%1."/>
      <w:numFmt w:val="decimal"/>
      <w:start w:val="9"/>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2026-06-18T15:29:08Z</dcterms:created>
  <dcterms:modified xsi:type="dcterms:W3CDTF">2026-06-18T15:29:08Z</dcterms:modified>
</cp:coreProperties>
</file>